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284"/>
        <w:jc w:val="center"/>
        <w:rPr>
          <w:rFonts w:ascii="TimesNewRomanPS-BoldMT" w:hAnsi="TimesNewRomanPS-BoldMT"/>
          <w:b/>
          <w:color w:val="000000"/>
          <w:sz w:val="28"/>
          <w:u w:val="none"/>
        </w:rPr>
      </w:pPr>
      <w:r>
        <w:rPr>
          <w:rFonts w:ascii="Times New Roman" w:hAnsi="Times New Roman"/>
          <w:b/>
          <w:color w:val="000000"/>
          <w:sz w:val="26"/>
          <w:u w:val="none"/>
        </w:rPr>
        <w:t>Перечень направлений подготовки (специальностей), на которые ТУ им. А.А. Леонова (филиал) МИИГАиК объявляет прием на обучение по программам бакалавриата, программам специалитета и программам магистратуры на 2026/2027 уч. г</w:t>
      </w:r>
      <w:r>
        <w:rPr>
          <w:rFonts w:ascii="Times New Roman" w:hAnsi="Times New Roman"/>
          <w:b/>
          <w:color w:val="000000"/>
          <w:sz w:val="28"/>
          <w:u w:val="none"/>
        </w:rPr>
        <w:t>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0"/>
        <w:ind w:start="284"/>
        <w:jc w:val="center"/>
        <w:rPr>
          <w:rFonts w:ascii="Times New Roman" w:hAnsi="Times New Roman" w:eastAsia="Times New Roman"/>
          <w:b/>
          <w:sz w:val="20"/>
          <w:szCs w:val="24"/>
        </w:rPr>
      </w:pPr>
      <w:r>
        <w:rPr>
          <w:rFonts w:eastAsia="Times New Roman" w:ascii="Times New Roman" w:hAnsi="Times New Roman"/>
          <w:b/>
          <w:sz w:val="20"/>
          <w:szCs w:val="24"/>
        </w:rPr>
      </w:r>
    </w:p>
    <w:tbl>
      <w:tblPr>
        <w:tblW w:w="45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VBand="0" w:noHBand="0" w:lastColumn="1" w:firstColumn="1" w:lastRow="1" w:firstRow="1"/>
      </w:tblPr>
      <w:tblGrid>
        <w:gridCol w:w="1083"/>
        <w:gridCol w:w="7686"/>
      </w:tblGrid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Направления подготовки (специальности)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</w:rPr>
              <w:t>ТУ им. А.А. Леонова (филиал) МИИГАиК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код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наименование</w:t>
            </w:r>
          </w:p>
        </w:tc>
      </w:tr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spacing w:lineRule="auto" w:line="240"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ОЧНАЯ ФОРМА ОБУЧЕНИЯ</w:t>
            </w:r>
          </w:p>
        </w:tc>
      </w:tr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60" w:after="6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БАКАЛАВРИАТ</w:t>
            </w:r>
          </w:p>
        </w:tc>
      </w:tr>
      <w:tr>
        <w:trPr>
          <w:trHeight w:val="240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01.03.02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Прикладная математика и информатика </w:t>
            </w:r>
          </w:p>
        </w:tc>
      </w:tr>
      <w:tr>
        <w:trPr>
          <w:trHeight w:val="240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09.03.02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Информационные системы и технологии</w:t>
            </w:r>
          </w:p>
        </w:tc>
      </w:tr>
      <w:tr>
        <w:trPr>
          <w:trHeight w:val="240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09.03.03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Прикладная информатика </w:t>
            </w:r>
          </w:p>
        </w:tc>
      </w:tr>
      <w:tr>
        <w:trPr>
          <w:trHeight w:val="170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09.03.04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Программная инженерия </w:t>
            </w:r>
          </w:p>
        </w:tc>
      </w:tr>
      <w:tr>
        <w:trPr>
          <w:trHeight w:val="170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10.03.01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Информационная безопасность </w:t>
            </w:r>
          </w:p>
        </w:tc>
      </w:tr>
      <w:tr>
        <w:trPr>
          <w:trHeight w:val="193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15.03.05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Конструкторско-технологическое обеспечение машиностроения </w:t>
            </w:r>
          </w:p>
        </w:tc>
      </w:tr>
      <w:tr>
        <w:trPr>
          <w:trHeight w:val="193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15.03.06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Мехатроника и робототехника </w:t>
            </w:r>
          </w:p>
        </w:tc>
      </w:tr>
      <w:tr>
        <w:trPr>
          <w:trHeight w:val="193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27.03.02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Управление качеством</w:t>
            </w:r>
          </w:p>
        </w:tc>
      </w:tr>
      <w:tr>
        <w:trPr>
          <w:trHeight w:val="193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27.03.05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Инноватика</w:t>
            </w:r>
          </w:p>
        </w:tc>
      </w:tr>
      <w:tr>
        <w:trPr>
          <w:trHeight w:val="193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38.03.05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Бизнес-информатика </w:t>
            </w:r>
          </w:p>
        </w:tc>
      </w:tr>
      <w:tr>
        <w:trPr>
          <w:trHeight w:val="193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39.03.01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Социология</w:t>
            </w:r>
          </w:p>
        </w:tc>
      </w:tr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60" w:after="6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СПЕЦИАЛИТЕТ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11.05.01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Радиоэлектронные системы и комплексы 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24.05.01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 xml:space="preserve">Проектирование, производство и эксплуатация ракет и ракетно-космических комплексов </w:t>
            </w:r>
          </w:p>
        </w:tc>
      </w:tr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60" w:after="6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МАГИСТРАТУРА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09.04.02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Информационные системы и технологии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09.04.03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Прикладная информатика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10.04.01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Информационная безопасность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24.04.01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Ракетные комплексы и космонавтика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27.04.02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Управление качеством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38.04.04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Государственное и муниципальное управление</w:t>
            </w:r>
          </w:p>
        </w:tc>
      </w:tr>
      <w:tr>
        <w:trPr>
          <w:trHeight w:val="587" w:hRule="atLeast"/>
        </w:trPr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ОЧНО-ЗАОЧНАЯ ФОРМА ОБУЧЕНИЯ</w:t>
            </w:r>
          </w:p>
        </w:tc>
      </w:tr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БАКАЛАВРИАТ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09.03.04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Программная инженерия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10.03.01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Информационная безопасность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38.03.01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Экономика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54.03.01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Дизайн</w:t>
            </w:r>
          </w:p>
        </w:tc>
      </w:tr>
      <w:tr>
        <w:trPr/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МАГИСТРАТУРА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38.04.02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  <w:highlight w:val="yellow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Менеджмент</w:t>
            </w:r>
          </w:p>
        </w:tc>
      </w:tr>
      <w:tr>
        <w:trPr/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37.04.01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Психология</w:t>
            </w:r>
          </w:p>
        </w:tc>
      </w:tr>
      <w:tr>
        <w:trPr>
          <w:trHeight w:val="201" w:hRule="atLeast"/>
        </w:trPr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bidi w:val="0"/>
              <w:spacing w:lineRule="auto" w:line="240" w:before="120" w:after="12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ЗАОЧНАЯ ФОРМА ОБУЧЕНИЯ</w:t>
            </w:r>
          </w:p>
        </w:tc>
      </w:tr>
      <w:tr>
        <w:trPr>
          <w:trHeight w:val="201" w:hRule="atLeast"/>
        </w:trPr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60" w:after="6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БАКАЛАВРИАТ</w:t>
            </w:r>
          </w:p>
        </w:tc>
      </w:tr>
      <w:tr>
        <w:trPr>
          <w:trHeight w:val="167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09.03.02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Информационные системы и технологии</w:t>
            </w:r>
          </w:p>
        </w:tc>
      </w:tr>
      <w:tr>
        <w:trPr>
          <w:trHeight w:val="167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09.03.04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Программная инженерия</w:t>
            </w:r>
          </w:p>
        </w:tc>
      </w:tr>
      <w:tr>
        <w:trPr>
          <w:trHeight w:val="167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15.03.05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Конструкторско-технологическое обеспечение машиностроения</w:t>
            </w:r>
          </w:p>
        </w:tc>
      </w:tr>
      <w:tr>
        <w:trPr>
          <w:trHeight w:val="167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27.03.02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Управление качеством</w:t>
            </w:r>
          </w:p>
        </w:tc>
      </w:tr>
      <w:tr>
        <w:trPr>
          <w:trHeight w:val="167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42.03.01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Реклама и связи с общественностью</w:t>
            </w:r>
          </w:p>
        </w:tc>
      </w:tr>
      <w:tr>
        <w:trPr>
          <w:trHeight w:val="201" w:hRule="atLeast"/>
        </w:trPr>
        <w:tc>
          <w:tcPr>
            <w:tcW w:w="87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0"/>
              </w:rPr>
              <w:t>МАГИСТРАТУРА</w:t>
            </w:r>
          </w:p>
        </w:tc>
      </w:tr>
      <w:tr>
        <w:trPr>
          <w:trHeight w:val="201" w:hRule="atLeast"/>
        </w:trPr>
        <w:tc>
          <w:tcPr>
            <w:tcW w:w="1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27.04.02</w:t>
            </w:r>
          </w:p>
        </w:tc>
        <w:tc>
          <w:tcPr>
            <w:tcW w:w="7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>
                <w:rFonts w:ascii="Times New Roman" w:hAnsi="Times New Roman" w:eastAsia="Times New Roman"/>
                <w:sz w:val="24"/>
                <w:szCs w:val="20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</w:rPr>
              <w:t>Управление качеством</w:t>
            </w:r>
          </w:p>
        </w:tc>
      </w:tr>
    </w:tbl>
    <w:p>
      <w:pPr>
        <w:pStyle w:val="Normal"/>
        <w:bidi w:val="0"/>
        <w:jc w:val="star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TimesNewRomanPS-BoldMT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LibreOffice/7.6.0.3$MacOSX_AARCH64 LibreOffice_project/69edd8b8ebc41d00b4de3915dc82f8f0fc3b6265</Application>
  <AppVersion>15.0000</AppVersion>
  <Pages>2</Pages>
  <Words>167</Words>
  <Characters>1467</Characters>
  <CharactersWithSpaces>1566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2026-01-20T17:02:46Z</dcterms:created>
  <dc:creator/>
  <dc:description/>
  <dc:language>ru-RU</dc:language>
  <cp:lastModifiedBy/>
  <dcterms:modified xsi:type="dcterms:W3CDTF">2026-01-20T17:44:59Z</dcterms:modified>
  <cp:revision>2</cp:revision>
  <dc:subject/>
  <dc:title/>
</cp:coreProperties>
</file>