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Учет индивидуальных достижений поступающих</w:t>
      </w:r>
    </w:p>
    <w:p>
      <w:pPr>
        <w:pStyle w:val="ConsPlusNormal"/>
        <w:ind w:firstLine="540"/>
        <w:jc w:val="both"/>
        <w:rPr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Учет индивидуальных достижений поступающих осуществляется следующими способами: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МИИГАиК начисляет поступающему баллы, которые включаются в сумму конкурсных баллов: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баллы за общие индивидуальные достижения, перечень которых установлен университетом в соответствии с </w:t>
      </w:r>
      <w:r>
        <w:rPr>
          <w:rFonts w:ascii="Times New Roman" w:hAnsi="Times New Roman"/>
          <w:b/>
        </w:rPr>
        <w:t xml:space="preserve">Таблицей 1 </w:t>
      </w:r>
      <w:r>
        <w:rPr>
          <w:rFonts w:ascii="Times New Roman" w:hAnsi="Times New Roman"/>
        </w:rPr>
        <w:t xml:space="preserve">настоящей главы. При приеме на обучение по программам бакалавриата, программам специалитета количество баллов за общие индивидуальные достижения составляет </w:t>
      </w:r>
      <w:r>
        <w:rPr>
          <w:rFonts w:ascii="Times New Roman" w:hAnsi="Times New Roman"/>
          <w:b/>
        </w:rPr>
        <w:t>не более 10 баллов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баллы за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- профориентационные мероприятия), которые учитываются в соответствии с пунктом 133 Правил при приеме на обучение на места в пределах целевой квоты в дополнение к баллам за общие индивидуальные достижения. Количество баллов за целевые индивидуальные достижения </w:t>
      </w:r>
      <w:r>
        <w:rPr>
          <w:rFonts w:ascii="Times New Roman" w:hAnsi="Times New Roman"/>
          <w:b/>
        </w:rPr>
        <w:t>составляет 5 баллов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университет учитывает индивидуальные достижения при равенстве поступающих по иным критериям ранжирования в конкурсных списках.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приеме на обучение по программам бакалавриата, программам специалитета поступающему по решению университета начисляются баллы за индивидуальные достижения, представленные в Таблице 1.</w:t>
      </w:r>
    </w:p>
    <w:p>
      <w:pPr>
        <w:pStyle w:val="ConsPlusNormal"/>
        <w:spacing w:before="60" w:after="0"/>
        <w:ind w:firstLine="539"/>
        <w:jc w:val="center"/>
        <w:rPr>
          <w:b/>
        </w:rPr>
      </w:pPr>
      <w:r>
        <w:rPr>
          <w:rFonts w:ascii="Times New Roman" w:hAnsi="Times New Roman"/>
          <w:b/>
        </w:rPr>
        <w:t>Таблица 1 - Индивидуальные достижения, учитываемые при приеме на обучение по программам бакалавриата, программам специалитета</w:t>
      </w:r>
    </w:p>
    <w:tbl>
      <w:tblPr>
        <w:tblW w:w="98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668"/>
        <w:gridCol w:w="3882"/>
        <w:gridCol w:w="766"/>
        <w:gridCol w:w="3157"/>
        <w:gridCol w:w="56"/>
        <w:gridCol w:w="1318"/>
      </w:tblGrid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достижения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Документы (сведения), подтверждающие индивидуальное достижение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  <w:br/>
              <w:t>баллов</w:t>
            </w:r>
          </w:p>
        </w:tc>
      </w:tr>
      <w:tr>
        <w:trPr/>
        <w:tc>
          <w:tcPr>
            <w:tcW w:w="98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Спортивные достижения: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  <w:b/>
              </w:rPr>
              <w:t>золотого, серебряного или бронзового</w:t>
            </w:r>
            <w:r>
              <w:rPr>
                <w:rFonts w:ascii="Times New Roman" w:hAnsi="Times New Roman"/>
              </w:rPr>
              <w:t xml:space="preserve"> знака отличия Всероссийского физкультурно-спортивного комплекса «Готов к труду и обороне» (ГТО), если поступающий награжден знаком ГТО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</w:t>
            </w:r>
            <w:r>
              <w:rPr>
                <w:rFonts w:ascii="Times New Roman" w:hAnsi="Times New Roman"/>
                <w:b/>
              </w:rPr>
              <w:t>текущем году и (или) в предшествующем году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Удостоверение</w:t>
              <w:br/>
              <w:t xml:space="preserve">установленного образца или </w:t>
              <w:br/>
              <w:t xml:space="preserve">2. Сведения, размещенные на официальном сайте Министерства спорта Российской Федерации или на официальном сайте Всероссийского физкультурно-спортивного комплекса «Готов к труду и обороне» (ГТО) в информационно-телекоммуникационной сети «Интернет», или 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Заверенная должностным лицом копия приказа (выписка из приказа) Министерства спорта Российской Федерации о награждении соответствующим знаком ГТО.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Золотой знак – </w:t>
              <w:br/>
            </w:r>
            <w:r>
              <w:rPr>
                <w:rFonts w:ascii="Times New Roman" w:hAnsi="Times New Roman"/>
                <w:b/>
              </w:rPr>
              <w:t>5 баллов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Серебряный знак – </w:t>
            </w:r>
            <w:r>
              <w:rPr>
                <w:rFonts w:ascii="Times New Roman" w:hAnsi="Times New Roman"/>
                <w:b/>
              </w:rPr>
              <w:t>4 балла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Бронзовый знак – </w:t>
            </w:r>
            <w:r>
              <w:rPr>
                <w:rFonts w:ascii="Times New Roman" w:hAnsi="Times New Roman"/>
                <w:b/>
              </w:rPr>
              <w:t>3 балла</w:t>
            </w:r>
          </w:p>
        </w:tc>
      </w:tr>
      <w:tr>
        <w:trPr/>
        <w:tc>
          <w:tcPr>
            <w:tcW w:w="98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Иные спортивные достижения: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1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60" w:after="6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Спортивные звания и разряды, полученные в соответствии с Единой всероссийской спортивной классификацией:</w:t>
            </w:r>
          </w:p>
        </w:tc>
      </w:tr>
      <w:tr>
        <w:trPr/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мастер спорта России международного класса (Гроссмейстер России)</w:t>
            </w:r>
          </w:p>
        </w:tc>
        <w:tc>
          <w:tcPr>
            <w:tcW w:w="392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Удостоверение,</w:t>
              <w:br/>
              <w:t>приказ или протокол</w:t>
              <w:br/>
              <w:t>Министерства спорта РФ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заслуженный мастер спорта России</w:t>
            </w:r>
          </w:p>
        </w:tc>
        <w:tc>
          <w:tcPr>
            <w:tcW w:w="392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мастер спорта России</w:t>
            </w:r>
          </w:p>
        </w:tc>
        <w:tc>
          <w:tcPr>
            <w:tcW w:w="392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кандидат в мастера спорта России</w:t>
            </w:r>
          </w:p>
        </w:tc>
        <w:tc>
          <w:tcPr>
            <w:tcW w:w="392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Классификационная книжка или выписка из приказа о присвоении спортивного разряда 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- 1-й спортивный разряд</w:t>
            </w:r>
          </w:p>
        </w:tc>
        <w:tc>
          <w:tcPr>
            <w:tcW w:w="392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- 2-й спортивный разряд</w:t>
            </w:r>
          </w:p>
        </w:tc>
        <w:tc>
          <w:tcPr>
            <w:tcW w:w="392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- 3-й спортивный разряд</w:t>
            </w:r>
          </w:p>
        </w:tc>
        <w:tc>
          <w:tcPr>
            <w:tcW w:w="392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8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Успехи в образовании: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аттестата о среднем общем образовании с отличием, или аттестата о среднем (полном) общем образовании с отличием, или аттестата о среднем (полном) общем образовании для награжденных золотой (серебряной) медалью, </w:t>
            </w:r>
            <w:r>
              <w:rPr>
                <w:rFonts w:ascii="Times New Roman" w:hAnsi="Times New Roman"/>
                <w:b/>
              </w:rPr>
              <w:t>полученного в РФ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hanging="284" w:start="441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Аттестат о среднем общем образовании с отличием;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hanging="284" w:start="441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Аттестат о среднем (полном) общем образовании, содержащий сведения о награждении золотой или серебряной медалью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3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диплома о среднем профессиональном образовании с отличием, или диплома о начальном профессиональном образовании с отличием, или диплома о начальном профессиональном образовании для награжденных золотой (серебряной) медалью, </w:t>
            </w:r>
            <w:r>
              <w:rPr>
                <w:rFonts w:ascii="Times New Roman" w:hAnsi="Times New Roman"/>
                <w:b/>
              </w:rPr>
              <w:t>полученного в РФ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hanging="284" w:start="441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Диплом о среднем профессиональном образовании</w:t>
              <w:br/>
              <w:t>с отличием;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hanging="284" w:start="441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о начальном профессиональном образовании с отличием;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hanging="284" w:start="441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о начальном профессиональном образовании для награжденных золотой (серебряной) медалью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279" w:hRule="atLeast"/>
        </w:trPr>
        <w:tc>
          <w:tcPr>
            <w:tcW w:w="98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240" w:after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Участие в олимпиадах и конкурсах:</w:t>
            </w:r>
          </w:p>
        </w:tc>
      </w:tr>
      <w:tr>
        <w:trPr>
          <w:trHeight w:val="569" w:hRule="atLeast"/>
        </w:trPr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или призер Всероссийской олимпиады школьников: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заключительного этапа</w:t>
            </w:r>
          </w:p>
        </w:tc>
        <w:tc>
          <w:tcPr>
            <w:tcW w:w="321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  <w:br/>
              <w:t>или призера олимпиады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регионального этапа</w:t>
            </w:r>
          </w:p>
        </w:tc>
        <w:tc>
          <w:tcPr>
            <w:tcW w:w="321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426" w:hRule="atLeast"/>
        </w:trPr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муниципального этапа</w:t>
            </w:r>
          </w:p>
        </w:tc>
        <w:tc>
          <w:tcPr>
            <w:tcW w:w="321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Победитель или призер олимпиады</w:t>
              <w:br/>
              <w:t>из Перечня олимпиад школьников, ежегодно утверждаемого Минобрнауки России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  <w:br/>
              <w:t>или призера олимпиады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Победитель или призер Всероссийского конкурса «Большая перемена»: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- победителям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статус победителя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- призерам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статус призера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Победитель или призер национального и (или) международного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</w:t>
              <w:br/>
              <w:t>подтверждающий</w:t>
              <w:br/>
              <w:t>данный статус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Победитель или призер заключительного тура Международной космической олимпиады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победителям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статус победителя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призерам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статус призера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1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Призер, победитель или лауреат Международной детско-юношеской премии «Экология – дело каждого»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победителям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статус победителя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призерам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статус призера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лауреатам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статус лауреата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/>
        <w:tc>
          <w:tcPr>
            <w:tcW w:w="98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Волонтерская (добровольческая) деятельность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Волонтёрская (добровольческая) деятельность 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единой информационной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в сфере развития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добровольчества (волонтёрства)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(dobro.ru)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книжка добровольца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(волонтёра)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записями, оформленная согласно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приказу Федерального агентства по делам молодежи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04 декабря 2013 г. № 377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98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Достижения, связанные с прохождением военной службы 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Военный билет;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указанный факт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</w:t>
            </w:r>
            <w:r>
              <w:rPr>
                <w:rFonts w:ascii="Times New Roman" w:hAnsi="Times New Roman"/>
                <w:b/>
                <w:bCs/>
              </w:rPr>
              <w:t>специальной военной операции</w:t>
            </w:r>
            <w:r>
              <w:rPr>
                <w:rFonts w:ascii="Times New Roman" w:hAnsi="Times New Roman"/>
                <w:bCs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Военный билет;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указанный факт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>
      <w:pPr>
        <w:pStyle w:val="ConsPlusNormal"/>
        <w:spacing w:before="60" w:after="0"/>
        <w:ind w:firstLine="539"/>
        <w:jc w:val="both"/>
        <w:rPr>
          <w:rFonts w:eastAsia="Times New Roman"/>
        </w:rPr>
      </w:pPr>
      <w:r>
        <w:rPr>
          <w:rFonts w:eastAsia="Times New Roman" w:ascii="Times New Roman" w:hAnsi="Times New Roman"/>
        </w:rPr>
        <w:t>Поступающий представляет документы, подтверждающие получение результатов индивидуальных достижений.</w:t>
      </w:r>
    </w:p>
    <w:p>
      <w:pPr>
        <w:pStyle w:val="Normal"/>
        <w:widowControl w:val="false"/>
        <w:bidi w:val="0"/>
        <w:spacing w:lineRule="auto" w:line="240" w:before="6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Начисление баллов за наличие знака ГТО осуществляется однократно. При наличии нескольких знаков отличия, учитывается наивысший результат, вне зависимости получен результат в текущем или предшествующем году. При наличии двух одинаковых результатов, учитывается один из представленных.</w:t>
      </w:r>
    </w:p>
    <w:p>
      <w:pPr>
        <w:pStyle w:val="Normal"/>
        <w:widowControl w:val="false"/>
        <w:bidi w:val="0"/>
        <w:spacing w:lineRule="auto" w:line="240" w:before="6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достижения, указанные в пп. 2.2 таблицы 1, учитываются в том случае, если период, начиная с даты получения документа, подтверждающего результат индивидуального достижения, до дня завершения приема документов и вступительных испытаний включительно:</w:t>
      </w:r>
    </w:p>
    <w:p>
      <w:pPr>
        <w:pStyle w:val="Normal"/>
        <w:widowControl w:val="false"/>
        <w:bidi w:val="0"/>
        <w:spacing w:lineRule="auto" w:line="240" w:before="0"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КМС составляет </w:t>
      </w:r>
      <w:r>
        <w:rPr>
          <w:rFonts w:ascii="Times New Roman" w:hAnsi="Times New Roman"/>
          <w:b/>
          <w:sz w:val="24"/>
          <w:szCs w:val="24"/>
        </w:rPr>
        <w:t xml:space="preserve">не более трех лет, </w:t>
      </w:r>
    </w:p>
    <w:p>
      <w:pPr>
        <w:pStyle w:val="Normal"/>
        <w:widowControl w:val="false"/>
        <w:bidi w:val="0"/>
        <w:spacing w:lineRule="auto" w:line="240" w:before="0"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1-3 спортивных разрядов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</w:t>
      </w:r>
      <w:r>
        <w:rPr>
          <w:rFonts w:ascii="Times New Roman" w:hAnsi="Times New Roman"/>
          <w:b/>
          <w:sz w:val="24"/>
          <w:szCs w:val="24"/>
        </w:rPr>
        <w:t xml:space="preserve"> не более двух лет.</w:t>
      </w:r>
    </w:p>
    <w:p>
      <w:pPr>
        <w:pStyle w:val="Normal"/>
        <w:widowControl w:val="false"/>
        <w:bidi w:val="0"/>
        <w:spacing w:lineRule="auto" w:line="240" w:before="6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Индивидуальные достижения, указанные в пп. 4, пп. 5, пп. 7 таблицы 1, учитываются в том случае, если указанный статус не используется для получения особых прав и преимуществ при поступлении на обучение, а также если период, начиная с даты получения документа, подтверждающего результат индивидуального достижения, до дня завершения приема документов и вступительных испытаний включительно, составляет </w:t>
      </w:r>
      <w:r>
        <w:rPr>
          <w:rFonts w:ascii="Times New Roman" w:hAnsi="Times New Roman"/>
          <w:b/>
          <w:sz w:val="24"/>
          <w:szCs w:val="24"/>
        </w:rPr>
        <w:t>не более трех лет.</w:t>
      </w:r>
    </w:p>
    <w:p>
      <w:pPr>
        <w:pStyle w:val="ConsPlusNormal"/>
        <w:spacing w:before="60" w:after="0"/>
        <w:ind w:firstLine="539"/>
        <w:jc w:val="both"/>
        <w:rPr>
          <w:rFonts w:eastAsia="Times New Roman"/>
        </w:rPr>
      </w:pPr>
      <w:r>
        <w:rPr>
          <w:rFonts w:eastAsia="Times New Roman" w:ascii="Times New Roman" w:hAnsi="Times New Roman"/>
        </w:rPr>
        <w:t>Если поступающий имеет индивидуальные достижения, указанные пп. 4 таблицы 1 на различных уровнях, но по одному предмету и за один учебный год, то в качестве индивидуального достижения засчитывается наивысший результат (уровень).</w:t>
      </w:r>
    </w:p>
    <w:p>
      <w:pPr>
        <w:pStyle w:val="ConsPlusNormal"/>
        <w:spacing w:before="60" w:after="0"/>
        <w:ind w:firstLine="539"/>
        <w:jc w:val="both"/>
        <w:rPr>
          <w:rFonts w:eastAsia="Times New Roman"/>
        </w:rPr>
      </w:pPr>
      <w:r>
        <w:rPr>
          <w:rFonts w:eastAsia="Times New Roman" w:ascii="Times New Roman" w:hAnsi="Times New Roman"/>
        </w:rPr>
        <w:t xml:space="preserve">Индивидуальное достижение, указанное в пп.10 таблицы 1, учитывается в том случае, если волонтерская </w:t>
      </w:r>
      <w:r>
        <w:rPr>
          <w:rFonts w:ascii="Times New Roman" w:hAnsi="Times New Roman"/>
          <w:bCs/>
        </w:rPr>
        <w:t xml:space="preserve">(добровольческая) деятельность осуществлена в период с 01 сентября 2023 г. до дня завершения приема документов и вступительных испытаний включительно </w:t>
      </w:r>
      <w:r>
        <w:rPr>
          <w:rFonts w:ascii="Times New Roman" w:hAnsi="Times New Roman"/>
        </w:rPr>
        <w:t xml:space="preserve">продолжительностью </w:t>
      </w:r>
      <w:r>
        <w:rPr>
          <w:rFonts w:ascii="Times New Roman" w:hAnsi="Times New Roman"/>
          <w:b/>
        </w:rPr>
        <w:t>не менее 100 часов</w:t>
      </w:r>
      <w:r>
        <w:rPr>
          <w:rFonts w:ascii="Times New Roman" w:hAnsi="Times New Roman"/>
          <w:bCs/>
        </w:rPr>
        <w:t>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качестве индивидуальных достижений, учитываемых при равенстве поступающих по иным критериям ранжирования в конкурсных списках, МИИГАиК устанавливает средний балл документа об образовании, и (или) баллы по отдельным предметам, учебным дисциплинам, и (или) иные индивидуальные достижения, которые университет определяет в период проведения приема.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11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7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2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nsPlusNormal">
    <w:name w:val="ConsPlusNormal"/>
    <w:qFormat/>
    <w:pPr>
      <w:widowControl w:val="false"/>
      <w:bidi w:val="0"/>
      <w:spacing w:before="0" w:after="0"/>
      <w:jc w:val="start"/>
    </w:pPr>
    <w:rPr>
      <w:rFonts w:eastAsia="宋体" w:eastAsiaTheme="minorEastAsia" w:ascii="Liberation Serif" w:hAnsi="Liberation Serif" w:cs="Arial Unicode MS"/>
      <w:color w:val="auto"/>
      <w:kern w:val="2"/>
      <w:sz w:val="24"/>
      <w:szCs w:val="24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  <w:spacing w:before="0" w:after="0"/>
      <w:jc w:val="start"/>
    </w:pPr>
    <w:rPr>
      <w:rFonts w:ascii="Arial" w:hAnsi="Arial" w:eastAsia="宋体" w:cs="Arial" w:eastAsiaTheme="minorEastAsia"/>
      <w:b/>
      <w:bCs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LibreOffice/7.6.0.3$MacOSX_AARCH64 LibreOffice_project/69edd8b8ebc41d00b4de3915dc82f8f0fc3b6265</Application>
  <AppVersion>15.0000</AppVersion>
  <Pages>4</Pages>
  <Words>1021</Words>
  <Characters>7115</Characters>
  <CharactersWithSpaces>8016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2026-01-20T18:57:31Z</dcterms:created>
  <dc:creator/>
  <dc:description/>
  <dc:language>ru-RU</dc:language>
  <cp:lastModifiedBy/>
  <dcterms:modified xsi:type="dcterms:W3CDTF">2026-01-20T18:59:19Z</dcterms:modified>
  <cp:revision>1</cp:revision>
  <dc:subject/>
  <dc:title/>
</cp:coreProperties>
</file>