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9355"/>
      </w:tblGrid>
      <w:tr w:rsidR="00756C88">
        <w:trPr>
          <w:tblHeader/>
        </w:trPr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C88" w:rsidRDefault="00E94E5D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_bookmark_1"/>
            <w:bookmarkStart w:id="1" w:name="_GoBack"/>
            <w:bookmarkEnd w:id="0"/>
            <w:r>
              <w:rPr>
                <w:color w:val="000000"/>
                <w:sz w:val="24"/>
                <w:szCs w:val="24"/>
              </w:rPr>
              <w:t>СОГЛАШЕНИЕ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</w:tr>
    </w:tbl>
    <w:p w:rsidR="00756C88" w:rsidRDefault="00756C88">
      <w:pPr>
        <w:rPr>
          <w:vanish/>
        </w:rPr>
      </w:pPr>
      <w:bookmarkStart w:id="2" w:name="__bookmark_2"/>
      <w:bookmarkEnd w:id="2"/>
      <w:bookmarkEnd w:id="1"/>
    </w:p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4677"/>
        <w:gridCol w:w="4678"/>
      </w:tblGrid>
      <w:tr w:rsidR="00756C88">
        <w:trPr>
          <w:trHeight w:hRule="exact" w:val="825"/>
          <w:tblHeader/>
        </w:trPr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C88" w:rsidRDefault="00E94E5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Красногорск, Московская область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C88" w:rsidRDefault="00E94E5D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января 2019 г.</w:t>
            </w:r>
          </w:p>
        </w:tc>
      </w:tr>
    </w:tbl>
    <w:p w:rsidR="00756C88" w:rsidRDefault="00756C88">
      <w:pPr>
        <w:rPr>
          <w:vanish/>
        </w:rPr>
      </w:pPr>
      <w:bookmarkStart w:id="3" w:name="__bookmark_3"/>
      <w:bookmarkEnd w:id="3"/>
    </w:p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9355"/>
      </w:tblGrid>
      <w:tr w:rsidR="00756C88"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МИНИСТЕРСТВО ОБРАЗОВАНИЯ МОСКОВСКОЙ ОБЛАСТИ (далее - Учредитель) в лице заместителя министра образования Московской области Лазарева Андрея Александровича, действующего на основании Распоряжения Министерства образования Московской области № 429 от 04.12.</w:t>
            </w:r>
            <w:r>
              <w:rPr>
                <w:color w:val="000000"/>
                <w:sz w:val="24"/>
                <w:szCs w:val="24"/>
              </w:rPr>
              <w:t xml:space="preserve">2018 «О праве подписи Лазарева А.А. на 2019 год», с одной стороны, и ГОСУДАРСТВЕННОЕ БЮДЖЕТНОЕ ОБРАЗОВАТЕЛЬНОЕ УЧРЕЖДЕНИЕ ВЫСШЕГО ОБРАЗОВАНИЯ МОСКОВСКОЙ ОБЛАСТИ "ТЕХНОЛОГИЧЕСКИЙ УНИВЕРСИТЕТ" (далее - Учреждение) в лице руководителя </w:t>
            </w:r>
            <w:proofErr w:type="spellStart"/>
            <w:r>
              <w:rPr>
                <w:color w:val="000000"/>
                <w:sz w:val="24"/>
                <w:szCs w:val="24"/>
              </w:rPr>
              <w:t>Старцевой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Татьяны Евгень</w:t>
            </w:r>
            <w:r>
              <w:rPr>
                <w:color w:val="000000"/>
                <w:sz w:val="24"/>
                <w:szCs w:val="24"/>
              </w:rPr>
              <w:t>евны, действующего 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основании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Устав, с другой стороны, вместе именуемые «Стороны», заключили настоящее Соглашение о нижеследующем. </w:t>
            </w:r>
          </w:p>
          <w:p w:rsidR="00756C88" w:rsidRDefault="00E94E5D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1. Предмет соглашения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Предметом настоящего Соглашения является предоставление Учреждению из бюджета Московской област</w:t>
            </w:r>
            <w:r>
              <w:rPr>
                <w:color w:val="000000"/>
                <w:sz w:val="24"/>
                <w:szCs w:val="24"/>
              </w:rPr>
              <w:t>и в 2019 году субсидии на финансовое обеспечение выполнения государственного задания на оказание государственных услуг (выполнение работ) (далее - Субсидия, государственное задание).</w:t>
            </w:r>
          </w:p>
          <w:p w:rsidR="00756C88" w:rsidRDefault="00E94E5D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2. Права и обязанности Сторон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2.1. Учредитель обязуется: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2.1.1.  </w:t>
            </w:r>
            <w:proofErr w:type="gramStart"/>
            <w:r>
              <w:rPr>
                <w:color w:val="000000"/>
                <w:sz w:val="24"/>
                <w:szCs w:val="24"/>
              </w:rPr>
              <w:t>Определять размер субсидии на финансовое обеспечение выполнения государственного задания (далее - Субсидия) Учреждением в соответствии с показателями государственного задания на основании нормативных затрат на оказание государственных услуг с прим</w:t>
            </w:r>
            <w:r>
              <w:rPr>
                <w:color w:val="000000"/>
                <w:sz w:val="24"/>
                <w:szCs w:val="24"/>
              </w:rPr>
              <w:t>енением базовых нормативов затрат и корректирующих коэффициентов к базовым нормативам затрат, нормативных затрат на выполнение работ, определенных в соответствии с Порядком определения нормативных затрат на оказание государственными учреждениями Московской</w:t>
            </w:r>
            <w:r>
              <w:rPr>
                <w:color w:val="000000"/>
                <w:sz w:val="24"/>
                <w:szCs w:val="24"/>
              </w:rPr>
              <w:t xml:space="preserve"> области государственных услуг (выполнение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работ), применяемых при расчете объема субсидии на финансовое обеспечение выполнения государственного задания на оказание государственных услуг (выполнение работ) государственным учреждением Московской области, а </w:t>
            </w:r>
            <w:r>
              <w:rPr>
                <w:color w:val="000000"/>
                <w:sz w:val="24"/>
                <w:szCs w:val="24"/>
              </w:rPr>
              <w:t>также затрат на выполнение работ, рассчитанных сметным методом.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2.1.2. </w:t>
            </w:r>
            <w:proofErr w:type="gramStart"/>
            <w:r>
              <w:rPr>
                <w:color w:val="000000"/>
                <w:sz w:val="24"/>
                <w:szCs w:val="24"/>
              </w:rPr>
              <w:t>Определять размер Субсидии с учетом нормативных затрат на содержание соответствующего недвижимого имущества и особо ценного движимого имущества, закрепленного за Учреждением или приобр</w:t>
            </w:r>
            <w:r>
              <w:rPr>
                <w:color w:val="000000"/>
                <w:sz w:val="24"/>
                <w:szCs w:val="24"/>
              </w:rPr>
              <w:t>етенного Учреждением за счет средств, выделенных ему Учредителем на приобретение такого имущества (за исключением имущества, сданного в аренду), и на уплату налогов, в качестве объекта налогообложения, по которым признается соответствующее имущество, в том</w:t>
            </w:r>
            <w:r>
              <w:rPr>
                <w:color w:val="000000"/>
                <w:sz w:val="24"/>
                <w:szCs w:val="24"/>
              </w:rPr>
              <w:t xml:space="preserve"> числе земельные участки.</w:t>
            </w:r>
            <w:proofErr w:type="gramEnd"/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2.1.3. Предоставлять Субсидию в соответствии с графиком перечисления Субсидии, являющимся неотъемлемым приложением к настоящему Соглашению.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2.1.4. Рассматривать предложения Учреждения по вопросам, связанным с исполнением настоящ</w:t>
            </w:r>
            <w:r>
              <w:rPr>
                <w:color w:val="000000"/>
                <w:sz w:val="24"/>
                <w:szCs w:val="24"/>
              </w:rPr>
              <w:t>его Соглашения, и сообщать о результатах их рассмотрения в срок не более 1 месяца  со дня поступления указанных предложений.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2.1.5.  В случае, указанном в подпункте 2.3.5 пункта 2.3 настоящего Соглашения, Учредитель обязуется обеспечить возврат в бюджет М</w:t>
            </w:r>
            <w:r>
              <w:rPr>
                <w:color w:val="000000"/>
                <w:sz w:val="24"/>
                <w:szCs w:val="24"/>
              </w:rPr>
              <w:t xml:space="preserve">осковской области в соответствии с бюджетным законодательством Российской Федерации остатков Субсидии в объеме, соответствующем недостигнутым показателям государственного задания. 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2.1.6. В случае, указанном в подпункте 2.3.5 настоящего Соглашения, Учреди</w:t>
            </w:r>
            <w:r>
              <w:rPr>
                <w:color w:val="000000"/>
                <w:sz w:val="24"/>
                <w:szCs w:val="24"/>
              </w:rPr>
              <w:t>тель обязуется обеспечить возврат в соответствующий бюджет бюджетной системы Российской Федерации остатков Субсидии в объеме, соответствующем недостигнутым показателям государственного задания.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2.1.7. Утверждать отчеты о выполнении государственного задани</w:t>
            </w:r>
            <w:r>
              <w:rPr>
                <w:color w:val="000000"/>
                <w:sz w:val="24"/>
                <w:szCs w:val="24"/>
              </w:rPr>
              <w:t xml:space="preserve">я, представляемые Учреждением в соответствии с Порядком формирования и финансового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государственного задания государственными учреждениями Московской области.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2.2. Учредитель вправе изменять размер предоставляемой в соответствии с на</w:t>
            </w:r>
            <w:r>
              <w:rPr>
                <w:color w:val="000000"/>
                <w:sz w:val="24"/>
                <w:szCs w:val="24"/>
              </w:rPr>
              <w:t>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 Учреждение обязуется: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2.3.1. Осуществлять использование Субсидии в целях</w:t>
            </w:r>
            <w:r>
              <w:rPr>
                <w:color w:val="000000"/>
                <w:sz w:val="24"/>
                <w:szCs w:val="24"/>
              </w:rPr>
              <w:t xml:space="preserve">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2.3.2. Назначить в Учреждении долж</w:t>
            </w:r>
            <w:r>
              <w:rPr>
                <w:color w:val="000000"/>
                <w:sz w:val="24"/>
                <w:szCs w:val="24"/>
              </w:rPr>
              <w:t>ностных лиц, ответственных за выполнение государственных услуг (работ) в рамках государственного задания, а также за соблюдение порядка и условий предоставления Субсидии.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2.3.3. Информировать Учредителя об изменении условий оказания услуг (выполнения рабо</w:t>
            </w:r>
            <w:r>
              <w:rPr>
                <w:color w:val="000000"/>
                <w:sz w:val="24"/>
                <w:szCs w:val="24"/>
              </w:rPr>
              <w:t>т), которые могут повлиять на изменение размера Субсидии.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2.3.4. Представлять Учредителю отчет о выполнении государственного задания по форме и в сроки, установленные Порядком формирования и финансового обеспечения выполнения государственного задания госу</w:t>
            </w:r>
            <w:r>
              <w:rPr>
                <w:color w:val="000000"/>
                <w:sz w:val="24"/>
                <w:szCs w:val="24"/>
              </w:rPr>
              <w:t>дарственными учреждениями Московской области.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2.3.5.  Осуществить возврат в бюджет Московской области в соответствии с бюджетным законодательством Российской Федерации остатков Субсидии в объеме, соответствующем недостигнутым показателям государственного </w:t>
            </w:r>
            <w:r>
              <w:rPr>
                <w:color w:val="000000"/>
                <w:sz w:val="24"/>
                <w:szCs w:val="24"/>
              </w:rPr>
              <w:t>задания, в случаях: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2.3.5.1. Если ожидаемое исполнение показателей объема, указанное в отчете за 9 месяцев (предварительном за год), меньше показателей, установленных в государственном задании.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2.3.5.2. Если исполнение на отчетную дату показателей объема</w:t>
            </w:r>
            <w:r>
              <w:rPr>
                <w:color w:val="000000"/>
                <w:sz w:val="24"/>
                <w:szCs w:val="24"/>
              </w:rPr>
              <w:t>, указанное в отчете за год (итоговом), меньше ожидаемого исполнения по соответствующим показателям, указанного в отчете за 9 месяцев (предварительном за год).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2.3.5.3.  Если исполнение на отчетную дату показателей качества, указанное в отчете за год (ито</w:t>
            </w:r>
            <w:r>
              <w:rPr>
                <w:color w:val="000000"/>
                <w:sz w:val="24"/>
                <w:szCs w:val="24"/>
              </w:rPr>
              <w:t xml:space="preserve">говом), не соответствует показателям качества, установленным в государственном задании. 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2.3.6. Представлять по запросу Учредителя и в установленные им сроки информацию, документы и материалы, необходимые для проведения проверок исполнения условий настоящ</w:t>
            </w:r>
            <w:r>
              <w:rPr>
                <w:color w:val="000000"/>
                <w:sz w:val="24"/>
                <w:szCs w:val="24"/>
              </w:rPr>
              <w:t>его Соглашения или иных контрольных мероприятий.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2.3.7. Обеспечить целевое использование средств Субсидии.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2.3.8. Представлять в Министерство экономики и финансов Московской области при осуществлении кассовых выплат за счет средств Субсидии одновременно </w:t>
            </w:r>
            <w:r>
              <w:rPr>
                <w:color w:val="000000"/>
                <w:sz w:val="24"/>
                <w:szCs w:val="24"/>
              </w:rPr>
              <w:t>с платежным документом уникальный номер реестровой записи, подтверждающий осуществление Учреждением закупок товаров, работ, услуг посредством Единой автоматизированной системы управления закупками Московской области (ЕАСУЗ).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2.3.9. </w:t>
            </w:r>
            <w:proofErr w:type="gramStart"/>
            <w:r>
              <w:rPr>
                <w:color w:val="000000"/>
                <w:sz w:val="24"/>
                <w:szCs w:val="24"/>
              </w:rPr>
              <w:t>В договоры Учреждения о</w:t>
            </w:r>
            <w:r>
              <w:rPr>
                <w:color w:val="000000"/>
                <w:sz w:val="24"/>
                <w:szCs w:val="24"/>
              </w:rPr>
              <w:t xml:space="preserve"> поставке товаров, выполнении работ, оказании услуг, подлежащие оплате за счет Субсидии, включать условие о возможности изменения по соглашению сторон размера и (или) сроков оплаты и (или) объема товаров, работ, услуг в случае уменьшения Учредителю в соотв</w:t>
            </w:r>
            <w:r>
              <w:rPr>
                <w:color w:val="000000"/>
                <w:sz w:val="24"/>
                <w:szCs w:val="24"/>
              </w:rPr>
              <w:t>етствии с Бюджетным кодексом Российской Федерации ранее доведенных в установленном порядке лимитов бюджетных обязательств на предоставление Субсидии.</w:t>
            </w:r>
            <w:proofErr w:type="gramEnd"/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2.3.10. </w:t>
            </w:r>
            <w:proofErr w:type="gramStart"/>
            <w:r>
              <w:rPr>
                <w:color w:val="000000"/>
                <w:sz w:val="24"/>
                <w:szCs w:val="24"/>
              </w:rPr>
              <w:t>Обеспечить в 2019 году недопущение снижения в Учреждении средней заработной платы категорий работ</w:t>
            </w:r>
            <w:r>
              <w:rPr>
                <w:color w:val="000000"/>
                <w:sz w:val="24"/>
                <w:szCs w:val="24"/>
              </w:rPr>
              <w:t>ников, определенных в Указе Президента Российской Федерации от 07.05.2012 № 597 «О мероприятиях по реализации государственной социальной политики», по сравнению с 2018 годом, а также выполнение целевых показателей заработной платы работников, указанных в г</w:t>
            </w:r>
            <w:r>
              <w:rPr>
                <w:color w:val="000000"/>
                <w:sz w:val="24"/>
                <w:szCs w:val="24"/>
              </w:rPr>
              <w:t xml:space="preserve">осударственной программе Московской области «Образование Подмосковья» и иных государственных программах Московской области.  </w:t>
            </w:r>
            <w:proofErr w:type="gramEnd"/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2.4. Учреждение вправе: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2.4.1. Обращаться </w:t>
            </w:r>
            <w:proofErr w:type="gramStart"/>
            <w:r>
              <w:rPr>
                <w:color w:val="000000"/>
                <w:sz w:val="24"/>
                <w:szCs w:val="24"/>
              </w:rPr>
              <w:t>к Учредителю с предложением об изменении размера Субсидии в связи с изменением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госуд</w:t>
            </w:r>
            <w:r>
              <w:rPr>
                <w:color w:val="000000"/>
                <w:sz w:val="24"/>
                <w:szCs w:val="24"/>
              </w:rPr>
              <w:t>арственном задании показателей, характеризующих качество и (или) объем (содержание) оказываемых государственных услуг (выполняемых работ).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2.4.2. </w:t>
            </w:r>
            <w:proofErr w:type="gramStart"/>
            <w:r>
              <w:rPr>
                <w:color w:val="000000"/>
                <w:sz w:val="24"/>
                <w:szCs w:val="24"/>
              </w:rPr>
              <w:t>В случае признания утратившими силу положений закона Московской области о бюджете Московской области на текущ</w:t>
            </w:r>
            <w:r>
              <w:rPr>
                <w:color w:val="000000"/>
                <w:sz w:val="24"/>
                <w:szCs w:val="24"/>
              </w:rPr>
              <w:t xml:space="preserve">ий финансовый год и на плановый </w:t>
            </w:r>
            <w:r>
              <w:rPr>
                <w:color w:val="000000"/>
                <w:sz w:val="24"/>
                <w:szCs w:val="24"/>
              </w:rPr>
              <w:lastRenderedPageBreak/>
              <w:t>период в части, относящейся к плановому периоду, не принимать решение о расторжении договоров Учреждения о поставке товаров, выполнении работ, оказании услуг, подлежащих оплате за счет Субсидии в плановом периоде, при услови</w:t>
            </w:r>
            <w:r>
              <w:rPr>
                <w:color w:val="000000"/>
                <w:sz w:val="24"/>
                <w:szCs w:val="24"/>
              </w:rPr>
              <w:t>и заключения дополнительных соглашений к указанным договорам, определяющих условия 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исполнения в плановом периоде.</w:t>
            </w:r>
          </w:p>
          <w:p w:rsidR="00756C88" w:rsidRDefault="00E94E5D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3. Ответственность Сторон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законодательством Московской области.</w:t>
            </w:r>
          </w:p>
          <w:p w:rsidR="00756C88" w:rsidRDefault="00E94E5D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4. Срок действия Соглашени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Настоящее Соглашение вступает в силу с момента подписания обеими Сторонами и действует до 31 декабря 2019 года.</w:t>
            </w:r>
          </w:p>
          <w:p w:rsidR="00756C88" w:rsidRDefault="00E94E5D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5. Заключительные положения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5.1.  Изменение настоящего Соглашения осуществляется по взаимному согласию Сторон в электронном виде с исп</w:t>
            </w:r>
            <w:r>
              <w:rPr>
                <w:color w:val="000000"/>
                <w:sz w:val="24"/>
                <w:szCs w:val="24"/>
              </w:rPr>
              <w:t>ользованием государственной информационной системы «Региональный электронный бюджет Московской области» дополнений к настоящему Соглашению, которые являются его неотъемлемой частью.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5.2. Расторжение настоящего Соглашения допускается по соглашению сторон и</w:t>
            </w:r>
            <w:r>
              <w:rPr>
                <w:color w:val="000000"/>
                <w:sz w:val="24"/>
                <w:szCs w:val="24"/>
              </w:rPr>
              <w:t>ли по решению суда по основаниям, предусмотренным законодательством Российской Федерации.</w:t>
            </w:r>
          </w:p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5.3. Споры между Сторонами решаются путем переговоров с оформлением соответствующих протоколов или иных документов или в судебном порядке в соответствии с законодате</w:t>
            </w:r>
            <w:r>
              <w:rPr>
                <w:color w:val="000000"/>
                <w:sz w:val="24"/>
                <w:szCs w:val="24"/>
              </w:rPr>
              <w:t>льством Российской Федерации.</w:t>
            </w:r>
          </w:p>
          <w:p w:rsidR="00756C88" w:rsidRDefault="00E94E5D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6. Платежные реквизиты Сторон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p w:rsidR="00756C88" w:rsidRDefault="00756C88">
      <w:pPr>
        <w:rPr>
          <w:vanish/>
        </w:rPr>
      </w:pPr>
      <w:bookmarkStart w:id="4" w:name="__bookmark_4"/>
      <w:bookmarkEnd w:id="4"/>
    </w:p>
    <w:tbl>
      <w:tblPr>
        <w:tblW w:w="9355" w:type="dxa"/>
        <w:tblBorders>
          <w:top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8"/>
      </w:tblGrid>
      <w:tr w:rsidR="00756C88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E94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E94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756C88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E94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нахождения: 143407, МОСКОВСКАЯ ОБЛАСТЬ, ГОРОД КРАСНОГОРСК, БУЛЬВАР СТРОИТЕЛЕЙ, ДОМ 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E94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Место нахождения: 141074, МОСКОВСКАЯ </w:t>
            </w:r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color w:val="000000"/>
                <w:sz w:val="24"/>
                <w:szCs w:val="24"/>
              </w:rPr>
              <w:t>, Г КОРОЛЕВ, УЛ ГАГАРИНА, 42</w:t>
            </w:r>
          </w:p>
        </w:tc>
      </w:tr>
      <w:tr w:rsidR="00756C88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E94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7706009270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E94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5018051823</w:t>
            </w:r>
          </w:p>
        </w:tc>
      </w:tr>
      <w:tr w:rsidR="00756C88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E94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КПП 502401001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E94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КПП 501801001</w:t>
            </w:r>
          </w:p>
        </w:tc>
      </w:tr>
      <w:tr w:rsidR="00756C88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E94E5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/с № 40201810245250000104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E94E5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/с № 40601810945253000001</w:t>
            </w:r>
          </w:p>
        </w:tc>
      </w:tr>
      <w:tr w:rsidR="00756C88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E94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ГУ БАНКА РОССИИ ПО ЦФО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E94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ГУ БАНКА РОССИИ ПО ЦФО</w:t>
            </w:r>
          </w:p>
        </w:tc>
      </w:tr>
      <w:tr w:rsidR="00756C88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E94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 044525000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E94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 044525000</w:t>
            </w:r>
          </w:p>
        </w:tc>
      </w:tr>
      <w:tr w:rsidR="00756C88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E94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Лицевой счет 03014000770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E94E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Лицевой счет 20014209440</w:t>
            </w:r>
          </w:p>
        </w:tc>
      </w:tr>
      <w:tr w:rsidR="00756C88">
        <w:trPr>
          <w:tblHeader/>
        </w:trPr>
        <w:tc>
          <w:tcPr>
            <w:tcW w:w="4677" w:type="dxa"/>
            <w:tcMar>
              <w:top w:w="0" w:type="dxa"/>
              <w:left w:w="200" w:type="dxa"/>
              <w:bottom w:w="0" w:type="dxa"/>
              <w:right w:w="400" w:type="dxa"/>
            </w:tcMar>
            <w:vAlign w:val="center"/>
          </w:tcPr>
          <w:p w:rsidR="00756C88" w:rsidRDefault="00756C88">
            <w:pPr>
              <w:spacing w:line="1" w:lineRule="auto"/>
            </w:pPr>
          </w:p>
        </w:tc>
        <w:tc>
          <w:tcPr>
            <w:tcW w:w="4678" w:type="dxa"/>
            <w:tcMar>
              <w:top w:w="0" w:type="dxa"/>
              <w:left w:w="400" w:type="dxa"/>
              <w:bottom w:w="0" w:type="dxa"/>
              <w:right w:w="200" w:type="dxa"/>
            </w:tcMar>
            <w:vAlign w:val="center"/>
          </w:tcPr>
          <w:p w:rsidR="00756C88" w:rsidRDefault="00756C88">
            <w:pPr>
              <w:spacing w:line="1" w:lineRule="auto"/>
            </w:pPr>
          </w:p>
        </w:tc>
      </w:tr>
    </w:tbl>
    <w:p w:rsidR="00756C88" w:rsidRDefault="00756C88">
      <w:pPr>
        <w:rPr>
          <w:vanish/>
        </w:rPr>
      </w:pPr>
    </w:p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41"/>
      </w:tblGrid>
      <w:tr w:rsidR="00756C88">
        <w:trPr>
          <w:trHeight w:val="240"/>
        </w:trPr>
        <w:tc>
          <w:tcPr>
            <w:tcW w:w="9355" w:type="dxa"/>
            <w:gridSpan w:val="4"/>
            <w:vMerge w:val="restart"/>
            <w:tcMar>
              <w:top w:w="200" w:type="dxa"/>
              <w:left w:w="0" w:type="dxa"/>
              <w:bottom w:w="0" w:type="dxa"/>
              <w:right w:w="0" w:type="dxa"/>
            </w:tcMar>
          </w:tcPr>
          <w:p w:rsidR="00756C88" w:rsidRDefault="00E94E5D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Подписи сторон</w:t>
            </w:r>
          </w:p>
        </w:tc>
      </w:tr>
      <w:tr w:rsidR="00756C88">
        <w:trPr>
          <w:trHeight w:val="240"/>
        </w:trPr>
        <w:tc>
          <w:tcPr>
            <w:tcW w:w="4676" w:type="dxa"/>
            <w:gridSpan w:val="2"/>
            <w:vMerge w:val="restart"/>
            <w:tcMar>
              <w:top w:w="200" w:type="dxa"/>
              <w:left w:w="0" w:type="dxa"/>
              <w:bottom w:w="0" w:type="dxa"/>
              <w:right w:w="0" w:type="dxa"/>
            </w:tcMar>
          </w:tcPr>
          <w:p w:rsidR="00756C88" w:rsidRDefault="00E94E5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министра образования Московской области</w:t>
            </w:r>
          </w:p>
        </w:tc>
        <w:tc>
          <w:tcPr>
            <w:tcW w:w="4679" w:type="dxa"/>
            <w:gridSpan w:val="2"/>
            <w:vMerge w:val="restart"/>
            <w:tcMar>
              <w:top w:w="200" w:type="dxa"/>
              <w:left w:w="0" w:type="dxa"/>
              <w:bottom w:w="0" w:type="dxa"/>
              <w:right w:w="0" w:type="dxa"/>
            </w:tcMar>
          </w:tcPr>
          <w:p w:rsidR="00756C88" w:rsidRDefault="00E94E5D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</w:tr>
      <w:tr w:rsidR="00756C88">
        <w:tc>
          <w:tcPr>
            <w:tcW w:w="2338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:rsidR="00756C88" w:rsidRDefault="00756C8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bookmarkStart w:id="5" w:name="Штампы.РуководительУчредителя_1"/>
            <w:bookmarkEnd w:id="5"/>
          </w:p>
          <w:p w:rsidR="00756C88" w:rsidRDefault="00E94E5D">
            <w:pPr>
              <w:pStyle w:val="stamp"/>
            </w:pPr>
            <w:r>
              <w:t>Подписано</w:t>
            </w:r>
            <w:r>
              <w:t xml:space="preserve">. </w:t>
            </w:r>
            <w:r>
              <w:t>Заверено</w:t>
            </w:r>
            <w:r>
              <w:t xml:space="preserve"> </w:t>
            </w:r>
            <w:r>
              <w:t>ЭП</w:t>
            </w:r>
            <w:r>
              <w:t>.</w:t>
            </w:r>
            <w:r>
              <w:br/>
            </w:r>
            <w:r>
              <w:t>ФИО</w:t>
            </w:r>
            <w:r>
              <w:t xml:space="preserve">: </w:t>
            </w:r>
            <w:r>
              <w:t>Лазарев</w:t>
            </w:r>
            <w:r>
              <w:t xml:space="preserve"> </w:t>
            </w:r>
            <w:r>
              <w:t>Андрей</w:t>
            </w:r>
            <w:r>
              <w:t xml:space="preserve"> </w:t>
            </w:r>
            <w:r>
              <w:t>Александрович</w:t>
            </w:r>
            <w:r>
              <w:br/>
            </w:r>
            <w:r>
              <w:t>Должность</w:t>
            </w:r>
            <w:r>
              <w:t xml:space="preserve">: </w:t>
            </w:r>
            <w:r>
              <w:t>Заместитель</w:t>
            </w:r>
            <w:r>
              <w:t xml:space="preserve"> </w:t>
            </w:r>
            <w:r>
              <w:t>министра</w:t>
            </w:r>
            <w:r>
              <w:t xml:space="preserve"> </w:t>
            </w:r>
            <w:r>
              <w:t>образования</w:t>
            </w:r>
            <w:r>
              <w:t xml:space="preserve"> </w:t>
            </w:r>
            <w:r>
              <w:t>Московской</w:t>
            </w:r>
            <w:r>
              <w:t xml:space="preserve"> </w:t>
            </w:r>
            <w:r>
              <w:t>области</w:t>
            </w:r>
            <w:proofErr w:type="gramStart"/>
            <w:r>
              <w:br/>
            </w:r>
            <w:r>
              <w:t>Д</w:t>
            </w:r>
            <w:proofErr w:type="gramEnd"/>
            <w:r>
              <w:t>ействует</w:t>
            </w:r>
            <w:r>
              <w:t xml:space="preserve"> </w:t>
            </w:r>
            <w:r>
              <w:t>с</w:t>
            </w:r>
            <w:r>
              <w:t>: 21.12.2018 13:50:23</w:t>
            </w:r>
            <w:r>
              <w:br/>
            </w:r>
            <w:r>
              <w:lastRenderedPageBreak/>
              <w:t>Действует</w:t>
            </w:r>
            <w:r>
              <w:t xml:space="preserve"> </w:t>
            </w:r>
            <w:r>
              <w:t>по</w:t>
            </w:r>
            <w:r>
              <w:t xml:space="preserve">: </w:t>
            </w:r>
            <w:r>
              <w:t>21.03.2020 14:00:23</w:t>
            </w:r>
            <w:r>
              <w:br/>
            </w:r>
            <w:r>
              <w:t>Серийный</w:t>
            </w:r>
            <w:r>
              <w:t xml:space="preserve"> </w:t>
            </w:r>
            <w:r>
              <w:t>номер</w:t>
            </w:r>
            <w:r>
              <w:t>: 1320d47e5592c2694e9110f052a440b99</w:t>
            </w:r>
            <w:r>
              <w:br/>
            </w:r>
            <w:r>
              <w:t>Издатель</w:t>
            </w:r>
            <w:r>
              <w:t xml:space="preserve">: </w:t>
            </w:r>
            <w:r>
              <w:t>ГУП</w:t>
            </w:r>
            <w:r>
              <w:t xml:space="preserve"> </w:t>
            </w:r>
            <w:r>
              <w:t>МО</w:t>
            </w:r>
            <w:r>
              <w:t xml:space="preserve"> "</w:t>
            </w:r>
            <w:r>
              <w:t>МОБТИ</w:t>
            </w:r>
            <w:r>
              <w:t>"</w:t>
            </w:r>
            <w:r>
              <w:br/>
            </w:r>
            <w:r>
              <w:t>Время</w:t>
            </w:r>
            <w:r>
              <w:t xml:space="preserve"> </w:t>
            </w:r>
            <w:r>
              <w:t>подписания</w:t>
            </w:r>
            <w:r>
              <w:t>: 11.01.2019 17:54:57</w:t>
            </w:r>
          </w:p>
        </w:tc>
        <w:tc>
          <w:tcPr>
            <w:tcW w:w="2338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:rsidR="00756C88" w:rsidRDefault="00756C88">
            <w:pPr>
              <w:spacing w:line="1" w:lineRule="auto"/>
              <w:jc w:val="center"/>
            </w:pPr>
          </w:p>
        </w:tc>
        <w:tc>
          <w:tcPr>
            <w:tcW w:w="2338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:rsidR="00756C88" w:rsidRDefault="00756C88">
            <w:pPr>
              <w:spacing w:line="1" w:lineRule="auto"/>
              <w:jc w:val="center"/>
            </w:pPr>
          </w:p>
        </w:tc>
        <w:tc>
          <w:tcPr>
            <w:tcW w:w="2341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:rsidR="00756C88" w:rsidRDefault="00756C88">
            <w:pPr>
              <w:spacing w:line="1" w:lineRule="auto"/>
              <w:jc w:val="center"/>
            </w:pPr>
          </w:p>
        </w:tc>
      </w:tr>
      <w:tr w:rsidR="00756C88">
        <w:tc>
          <w:tcPr>
            <w:tcW w:w="2338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___________________</w:t>
            </w:r>
          </w:p>
        </w:tc>
        <w:tc>
          <w:tcPr>
            <w:tcW w:w="2338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Лазарев А.А.</w:t>
            </w:r>
          </w:p>
        </w:tc>
        <w:tc>
          <w:tcPr>
            <w:tcW w:w="2338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2341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56C88" w:rsidRDefault="00E94E5D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Старцева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Т.Е.</w:t>
            </w:r>
          </w:p>
        </w:tc>
      </w:tr>
      <w:tr w:rsidR="00756C88">
        <w:tc>
          <w:tcPr>
            <w:tcW w:w="2338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56C88" w:rsidRDefault="00E94E5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38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56C88" w:rsidRDefault="00756C88">
            <w:pPr>
              <w:spacing w:line="1" w:lineRule="auto"/>
              <w:jc w:val="center"/>
            </w:pPr>
          </w:p>
        </w:tc>
        <w:tc>
          <w:tcPr>
            <w:tcW w:w="2338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56C88" w:rsidRDefault="00E94E5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41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56C88" w:rsidRDefault="00756C88">
            <w:pPr>
              <w:spacing w:line="1" w:lineRule="auto"/>
              <w:jc w:val="center"/>
            </w:pPr>
          </w:p>
        </w:tc>
      </w:tr>
      <w:tr w:rsidR="00756C88">
        <w:trPr>
          <w:trHeight w:val="240"/>
        </w:trPr>
        <w:tc>
          <w:tcPr>
            <w:tcW w:w="4676" w:type="dxa"/>
            <w:gridSpan w:val="2"/>
            <w:vMerge w:val="restart"/>
            <w:tcMar>
              <w:top w:w="2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756C88">
            <w:pPr>
              <w:spacing w:line="240" w:lineRule="exact"/>
              <w:rPr>
                <w:color w:val="000000"/>
                <w:sz w:val="24"/>
                <w:szCs w:val="24"/>
              </w:rPr>
            </w:pPr>
            <w:bookmarkStart w:id="6" w:name="_recreated__bookmark__1"/>
            <w:bookmarkEnd w:id="6"/>
          </w:p>
        </w:tc>
        <w:tc>
          <w:tcPr>
            <w:tcW w:w="4679" w:type="dxa"/>
            <w:gridSpan w:val="2"/>
            <w:vMerge w:val="restart"/>
            <w:tcMar>
              <w:top w:w="20" w:type="dxa"/>
              <w:left w:w="100" w:type="dxa"/>
              <w:bottom w:w="0" w:type="dxa"/>
              <w:right w:w="100" w:type="dxa"/>
            </w:tcMar>
            <w:vAlign w:val="center"/>
          </w:tcPr>
          <w:p w:rsidR="00756C88" w:rsidRDefault="00756C88">
            <w:pPr>
              <w:spacing w:line="240" w:lineRule="exact"/>
              <w:rPr>
                <w:color w:val="000000"/>
                <w:sz w:val="24"/>
                <w:szCs w:val="24"/>
              </w:rPr>
            </w:pPr>
            <w:bookmarkStart w:id="7" w:name="Штампы.РуководительУчреждения_1"/>
            <w:bookmarkEnd w:id="7"/>
          </w:p>
          <w:p w:rsidR="00756C88" w:rsidRDefault="00E94E5D">
            <w:pPr>
              <w:pStyle w:val="stamp"/>
            </w:pPr>
            <w:r>
              <w:t>Подписано</w:t>
            </w:r>
            <w:r>
              <w:t xml:space="preserve">. </w:t>
            </w:r>
            <w:r>
              <w:t>Заверено</w:t>
            </w:r>
            <w:r>
              <w:t xml:space="preserve"> </w:t>
            </w:r>
            <w:r>
              <w:t>ЭП</w:t>
            </w:r>
            <w:r>
              <w:t>.</w:t>
            </w:r>
            <w:r>
              <w:br/>
            </w:r>
            <w:r>
              <w:t>ФИО</w:t>
            </w:r>
            <w:r>
              <w:t xml:space="preserve">: </w:t>
            </w:r>
            <w:proofErr w:type="spellStart"/>
            <w:r>
              <w:t>Старцева</w:t>
            </w:r>
            <w:proofErr w:type="spellEnd"/>
            <w:r>
              <w:t xml:space="preserve"> </w:t>
            </w:r>
            <w:r>
              <w:t>Татьяна</w:t>
            </w:r>
            <w:r>
              <w:t xml:space="preserve"> </w:t>
            </w:r>
            <w:r>
              <w:t>Евгеньевна</w:t>
            </w:r>
            <w:r>
              <w:br/>
            </w:r>
            <w:r>
              <w:t>Должность</w:t>
            </w:r>
            <w:r>
              <w:t xml:space="preserve">: </w:t>
            </w:r>
            <w:r>
              <w:t>Ректор</w:t>
            </w:r>
            <w:proofErr w:type="gramStart"/>
            <w:r>
              <w:br/>
            </w:r>
            <w:r>
              <w:t>Д</w:t>
            </w:r>
            <w:proofErr w:type="gramEnd"/>
            <w:r>
              <w:t>ействует</w:t>
            </w:r>
            <w:r>
              <w:t xml:space="preserve"> </w:t>
            </w:r>
            <w:r>
              <w:t>с</w:t>
            </w:r>
            <w:r>
              <w:t>: 15.01.2018 16:15:01</w:t>
            </w:r>
            <w:r>
              <w:br/>
            </w:r>
            <w:r>
              <w:t>Действует</w:t>
            </w:r>
            <w:r>
              <w:t xml:space="preserve"> </w:t>
            </w:r>
            <w:r>
              <w:t>по</w:t>
            </w:r>
            <w:r>
              <w:t>: 15.04.2019 16:24:01</w:t>
            </w:r>
            <w:r>
              <w:br/>
            </w:r>
            <w:r>
              <w:t>Серийный</w:t>
            </w:r>
            <w:r>
              <w:t xml:space="preserve"> </w:t>
            </w:r>
            <w:r>
              <w:t>номер</w:t>
            </w:r>
            <w:r>
              <w:t>: af63e07ac40cc880e711f7f9714e1d63</w:t>
            </w:r>
            <w:r>
              <w:br/>
            </w:r>
            <w:r>
              <w:t>Издатель</w:t>
            </w:r>
            <w:r>
              <w:t xml:space="preserve">: </w:t>
            </w:r>
            <w:r>
              <w:t>АО</w:t>
            </w:r>
            <w:r>
              <w:t xml:space="preserve"> "</w:t>
            </w:r>
            <w:r>
              <w:t>ПФ</w:t>
            </w:r>
            <w:r>
              <w:t xml:space="preserve"> "</w:t>
            </w:r>
            <w:r>
              <w:t>СКБ</w:t>
            </w:r>
            <w:r>
              <w:t xml:space="preserve"> </w:t>
            </w:r>
            <w:r>
              <w:t>Контур</w:t>
            </w:r>
            <w:r>
              <w:t>"</w:t>
            </w:r>
            <w:r>
              <w:br/>
            </w:r>
            <w:r>
              <w:t>Время</w:t>
            </w:r>
            <w:r>
              <w:t xml:space="preserve"> </w:t>
            </w:r>
            <w:r>
              <w:t>подписания</w:t>
            </w:r>
            <w:r>
              <w:t>: 11.01.2019 11:39:50</w:t>
            </w:r>
          </w:p>
        </w:tc>
      </w:tr>
    </w:tbl>
    <w:p w:rsidR="00756C88" w:rsidRDefault="00756C88">
      <w:pPr>
        <w:sectPr w:rsidR="00756C88">
          <w:headerReference w:type="default" r:id="rId7"/>
          <w:footerReference w:type="default" r:id="rId8"/>
          <w:pgSz w:w="11905" w:h="16837"/>
          <w:pgMar w:top="1133" w:right="850" w:bottom="1133" w:left="1700" w:header="1133" w:footer="1133" w:gutter="0"/>
          <w:cols w:space="720"/>
        </w:sectPr>
      </w:pPr>
    </w:p>
    <w:p w:rsidR="00756C88" w:rsidRDefault="00756C88">
      <w:pPr>
        <w:rPr>
          <w:vanish/>
        </w:rPr>
      </w:pPr>
      <w:bookmarkStart w:id="8" w:name="__bookmark_5"/>
      <w:bookmarkEnd w:id="8"/>
    </w:p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9355"/>
      </w:tblGrid>
      <w:tr w:rsidR="00756C88"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9355"/>
            </w:tblGrid>
            <w:tr w:rsidR="00756C88">
              <w:tc>
                <w:tcPr>
                  <w:tcW w:w="9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5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55"/>
                  </w:tblGrid>
                  <w:tr w:rsidR="00756C88">
                    <w:tc>
                      <w:tcPr>
                        <w:tcW w:w="93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6C88" w:rsidRDefault="00E94E5D">
                        <w:pPr>
                          <w:spacing w:line="240" w:lineRule="exact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bookmarkStart w:id="9" w:name="__bookmark_6"/>
                        <w:bookmarkEnd w:id="9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Приложение № 1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к Соглашению</w:t>
                        </w:r>
                      </w:p>
                    </w:tc>
                  </w:tr>
                  <w:tr w:rsidR="00756C88">
                    <w:tc>
                      <w:tcPr>
                        <w:tcW w:w="93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6C88" w:rsidRDefault="00E94E5D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График перечисления Субсидии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756C88">
                    <w:tc>
                      <w:tcPr>
                        <w:tcW w:w="93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120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450"/>
                          <w:gridCol w:w="2670"/>
                        </w:tblGrid>
                        <w:tr w:rsidR="00756C88">
                          <w:trPr>
                            <w:tblHeader/>
                          </w:trPr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0" w:name="__bookmark_7"/>
                              <w:bookmarkEnd w:id="10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Сроки предоставления субсидии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Сумма, рублей</w:t>
                              </w:r>
                            </w:p>
                          </w:tc>
                        </w:tr>
                        <w:tr w:rsidR="00756C88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31.01.2019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78689000-00</w:t>
                              </w:r>
                            </w:p>
                          </w:tc>
                        </w:tr>
                        <w:tr w:rsidR="00756C88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28.02.2019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26229000-00</w:t>
                              </w:r>
                            </w:p>
                          </w:tc>
                        </w:tr>
                        <w:tr w:rsidR="00756C88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29.03.2019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26229000-00</w:t>
                              </w:r>
                            </w:p>
                          </w:tc>
                        </w:tr>
                        <w:tr w:rsidR="00756C88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30.04.2019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78689000-00</w:t>
                              </w:r>
                            </w:p>
                          </w:tc>
                        </w:tr>
                        <w:tr w:rsidR="00756C88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31.05.2019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26229000-00</w:t>
                              </w:r>
                            </w:p>
                          </w:tc>
                        </w:tr>
                        <w:tr w:rsidR="00756C88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28.06.2019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26229000-00</w:t>
                              </w:r>
                            </w:p>
                          </w:tc>
                        </w:tr>
                        <w:tr w:rsidR="00756C88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31.07.2019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78689000-00</w:t>
                              </w:r>
                            </w:p>
                          </w:tc>
                        </w:tr>
                        <w:tr w:rsidR="00756C88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30.08.2019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26229000-00</w:t>
                              </w:r>
                            </w:p>
                          </w:tc>
                        </w:tr>
                        <w:tr w:rsidR="00756C88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27.09.2019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26229000-00</w:t>
                              </w:r>
                            </w:p>
                          </w:tc>
                        </w:tr>
                        <w:tr w:rsidR="00756C88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31.10.2019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43718240-75</w:t>
                              </w:r>
                            </w:p>
                          </w:tc>
                        </w:tr>
                        <w:tr w:rsidR="00756C88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29.11.2019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87436481-49</w:t>
                              </w:r>
                            </w:p>
                          </w:tc>
                        </w:tr>
                        <w:tr w:rsidR="00756C88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524595722-24</w:t>
                              </w:r>
                            </w:p>
                          </w:tc>
                        </w:tr>
                      </w:tbl>
                      <w:p w:rsidR="00756C88" w:rsidRDefault="00756C88">
                        <w:pPr>
                          <w:spacing w:line="1" w:lineRule="auto"/>
                        </w:pPr>
                      </w:p>
                    </w:tc>
                  </w:tr>
                  <w:tr w:rsidR="00756C88">
                    <w:trPr>
                      <w:hidden/>
                    </w:trPr>
                    <w:tc>
                      <w:tcPr>
                        <w:tcW w:w="93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56C88" w:rsidRDefault="00756C88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W w:w="935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338"/>
                          <w:gridCol w:w="2338"/>
                          <w:gridCol w:w="2338"/>
                          <w:gridCol w:w="2341"/>
                        </w:tblGrid>
                        <w:tr w:rsidR="00756C88">
                          <w:tc>
                            <w:tcPr>
                              <w:tcW w:w="2338" w:type="dxa"/>
                              <w:tcMar>
                                <w:top w:w="2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756C88">
                              <w:pPr>
                                <w:spacing w:line="240" w:lineRule="exact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1" w:name="_recreated__bookmark__2"/>
                              <w:bookmarkEnd w:id="11"/>
                            </w:p>
                          </w:tc>
                          <w:tc>
                            <w:tcPr>
                              <w:tcW w:w="2338" w:type="dxa"/>
                              <w:tcMar>
                                <w:top w:w="2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756C88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2338" w:type="dxa"/>
                              <w:tcMar>
                                <w:top w:w="2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756C88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2341" w:type="dxa"/>
                              <w:tcMar>
                                <w:top w:w="2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756C88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756C88">
                          <w:trPr>
                            <w:trHeight w:val="240"/>
                          </w:trPr>
                          <w:tc>
                            <w:tcPr>
                              <w:tcW w:w="4676" w:type="dxa"/>
                              <w:gridSpan w:val="2"/>
                              <w:vMerge w:val="restart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Заместитель министра образования Московской области</w:t>
                              </w:r>
                            </w:p>
                          </w:tc>
                          <w:tc>
                            <w:tcPr>
                              <w:tcW w:w="4679" w:type="dxa"/>
                              <w:gridSpan w:val="2"/>
                              <w:vMerge w:val="restart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E94E5D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Ректор</w:t>
                              </w:r>
                            </w:p>
                          </w:tc>
                        </w:tr>
                        <w:tr w:rsidR="00756C88"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756C88">
                              <w:pPr>
                                <w:spacing w:line="240" w:lineRule="exact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2" w:name="_recreated__bookmark__3"/>
                              <w:bookmarkEnd w:id="12"/>
                            </w:p>
                          </w:tc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756C88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756C88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2341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756C88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756C88"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E94E5D">
                              <w:pPr>
                                <w:spacing w:line="240" w:lineRule="exact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</w:t>
                              </w:r>
                            </w:p>
                          </w:tc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E94E5D">
                              <w:pPr>
                                <w:spacing w:line="240" w:lineRule="exact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Лазарев А.А.</w:t>
                              </w:r>
                            </w:p>
                          </w:tc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E94E5D">
                              <w:pPr>
                                <w:spacing w:line="240" w:lineRule="exact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</w:t>
                              </w:r>
                            </w:p>
                          </w:tc>
                          <w:tc>
                            <w:tcPr>
                              <w:tcW w:w="2341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E94E5D">
                              <w:pPr>
                                <w:spacing w:line="240" w:lineRule="exact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Старцева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Т.Е.</w:t>
                              </w:r>
                            </w:p>
                          </w:tc>
                        </w:tr>
                        <w:tr w:rsidR="00756C88"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E94E5D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756C88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E94E5D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2341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56C88" w:rsidRDefault="00756C88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756C88" w:rsidRDefault="00756C88">
                        <w:pPr>
                          <w:spacing w:line="1" w:lineRule="auto"/>
                        </w:pPr>
                      </w:p>
                    </w:tc>
                  </w:tr>
                </w:tbl>
                <w:p w:rsidR="00756C88" w:rsidRDefault="00756C88">
                  <w:pPr>
                    <w:spacing w:line="1" w:lineRule="auto"/>
                  </w:pPr>
                </w:p>
              </w:tc>
            </w:tr>
          </w:tbl>
          <w:p w:rsidR="00756C88" w:rsidRDefault="00756C88">
            <w:pPr>
              <w:spacing w:line="1" w:lineRule="auto"/>
            </w:pPr>
          </w:p>
        </w:tc>
      </w:tr>
    </w:tbl>
    <w:p w:rsidR="00000000" w:rsidRDefault="00E94E5D"/>
    <w:sectPr w:rsidR="00000000">
      <w:headerReference w:type="default" r:id="rId9"/>
      <w:footerReference w:type="default" r:id="rId10"/>
      <w:pgSz w:w="11905" w:h="16837"/>
      <w:pgMar w:top="1133" w:right="850" w:bottom="1133" w:left="1700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4E5D">
      <w:r>
        <w:separator/>
      </w:r>
    </w:p>
  </w:endnote>
  <w:endnote w:type="continuationSeparator" w:id="0">
    <w:p w:rsidR="00000000" w:rsidRDefault="00E9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9570"/>
    </w:tblGrid>
    <w:tr w:rsidR="00756C88">
      <w:tc>
        <w:tcPr>
          <w:tcW w:w="9570" w:type="dxa"/>
        </w:tcPr>
        <w:p w:rsidR="00756C88" w:rsidRDefault="00756C88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9570"/>
    </w:tblGrid>
    <w:tr w:rsidR="00756C88">
      <w:tc>
        <w:tcPr>
          <w:tcW w:w="9570" w:type="dxa"/>
        </w:tcPr>
        <w:p w:rsidR="00756C88" w:rsidRDefault="00756C8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4E5D">
      <w:r>
        <w:separator/>
      </w:r>
    </w:p>
  </w:footnote>
  <w:footnote w:type="continuationSeparator" w:id="0">
    <w:p w:rsidR="00000000" w:rsidRDefault="00E94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9570"/>
    </w:tblGrid>
    <w:tr w:rsidR="00756C88">
      <w:tc>
        <w:tcPr>
          <w:tcW w:w="9570" w:type="dxa"/>
        </w:tcPr>
        <w:p w:rsidR="00756C88" w:rsidRDefault="00756C88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9570"/>
    </w:tblGrid>
    <w:tr w:rsidR="00756C88">
      <w:tc>
        <w:tcPr>
          <w:tcW w:w="9570" w:type="dxa"/>
        </w:tcPr>
        <w:p w:rsidR="00756C88" w:rsidRDefault="00756C8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88"/>
    <w:rsid w:val="00756C88"/>
    <w:rsid w:val="00E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stamp">
    <w:name w:val="stamp"/>
    <w:unhideWhenUsed/>
    <w:qFormat/>
    <w:pPr>
      <w:pBdr>
        <w:top w:val="single" w:sz="20" w:space="0" w:color="4A148C"/>
        <w:left w:val="single" w:sz="20" w:space="0" w:color="4A148C"/>
        <w:bottom w:val="single" w:sz="20" w:space="0" w:color="4A148C"/>
        <w:right w:val="single" w:sz="20" w:space="0" w:color="4A148C"/>
      </w:pBdr>
      <w:outlineLvl w:val="0"/>
    </w:pPr>
    <w:rPr>
      <w:rFonts w:hAnsi="Arial"/>
      <w:color w:val="4A148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stamp">
    <w:name w:val="stamp"/>
    <w:unhideWhenUsed/>
    <w:qFormat/>
    <w:pPr>
      <w:pBdr>
        <w:top w:val="single" w:sz="20" w:space="0" w:color="4A148C"/>
        <w:left w:val="single" w:sz="20" w:space="0" w:color="4A148C"/>
        <w:bottom w:val="single" w:sz="20" w:space="0" w:color="4A148C"/>
        <w:right w:val="single" w:sz="20" w:space="0" w:color="4A148C"/>
      </w:pBdr>
      <w:outlineLvl w:val="0"/>
    </w:pPr>
    <w:rPr>
      <w:rFonts w:hAnsi="Arial"/>
      <w:color w:val="4A148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Татьяна Ивановна</dc:creator>
  <cp:lastModifiedBy>Коновалова Татьяна Ивановна</cp:lastModifiedBy>
  <cp:revision>2</cp:revision>
  <cp:lastPrinted>2019-01-14T05:43:00Z</cp:lastPrinted>
  <dcterms:created xsi:type="dcterms:W3CDTF">2019-01-14T05:44:00Z</dcterms:created>
  <dcterms:modified xsi:type="dcterms:W3CDTF">2019-01-14T05:44:00Z</dcterms:modified>
</cp:coreProperties>
</file>