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A" w:rsidRDefault="00E615B8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B">
        <w:rPr>
          <w:noProof/>
          <w:lang w:eastAsia="ru-RU"/>
        </w:rPr>
        <w:drawing>
          <wp:inline distT="0" distB="0" distL="0" distR="0" wp14:anchorId="082578AB" wp14:editId="2092E501">
            <wp:extent cx="5086350" cy="3181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4AED" w:rsidRDefault="00D54AED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научных основ комбинированного «</w:t>
      </w:r>
      <w:proofErr w:type="gramStart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жидкофазного-газофазного</w:t>
      </w:r>
      <w:proofErr w:type="gramEnd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метода создания окислительностойкой матрицы карбонитрида кремния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этап)</w:t>
      </w:r>
    </w:p>
    <w:p w:rsidR="00F94914" w:rsidRPr="00177730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внедрения в учебный процесс технологии системного проектирования малых космических аппаратов и </w:t>
      </w:r>
      <w:proofErr w:type="spellStart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микроспутников</w:t>
      </w:r>
      <w:proofErr w:type="spellEnd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использовании положений биокибернетики и программ подготовки специалистов в профи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высших учебных заведениях</w:t>
      </w: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этап)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поверхности после процесса стравливания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порошка на основе 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алюминида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 никеля и ниобия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тренингов формирования и совершенствования взаимодействия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Социально-психологическая архитектоника совершенствования межличностных отношений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Исследование зависимости гранулометрического состава от скорости вращения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комплекса работ по организационно-техническому сопровождению мероприятий Международного молодежного форума «Дорога к звездам» в рамках Всероссийского фестиваля науки 2011 года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«Дорога к звездам» Всероссийского фестиваля науки – 2011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подготовки предпринимателей малого бизнеса из числа безработных граждан Московской области </w:t>
      </w:r>
    </w:p>
    <w:p w:rsid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баз об электоральной ситуации в муниципальных образованиях Московской области </w:t>
      </w:r>
    </w:p>
    <w:p w:rsidR="00DB7700" w:rsidRPr="00DB7700" w:rsidRDefault="00DB7700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обеспечению обучения слушателей</w:t>
      </w:r>
    </w:p>
    <w:p w:rsidR="00F94914" w:rsidRPr="00F94914" w:rsidRDefault="00F94914" w:rsidP="00F9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14"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сопровождению мероприятий II Международного молодежного научно-технического форума «Дорога к звездам» в рамках Всероссийского фестиваля науки 2012 года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Разработка научных основ комбинированного «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жидкофазного-газофазного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» метода создания окислительностойкой матрицы карбонитрида кремния </w:t>
      </w:r>
      <w:r w:rsidR="00007F3F">
        <w:rPr>
          <w:rFonts w:ascii="Times New Roman" w:hAnsi="Times New Roman" w:cs="Times New Roman"/>
          <w:sz w:val="28"/>
          <w:szCs w:val="28"/>
        </w:rPr>
        <w:t>(3, 4 этап)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итоговой зарубежной выставки II Международного молодежного научно-технического форума «Дорога к звездам-2012» Всероссийского фестиваля науки – 2012 </w:t>
      </w:r>
    </w:p>
    <w:p w:rsidR="00007F3F" w:rsidRPr="00F94914" w:rsidRDefault="00007F3F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F3F">
        <w:rPr>
          <w:rFonts w:ascii="Times New Roman" w:hAnsi="Times New Roman" w:cs="Times New Roman"/>
          <w:sz w:val="28"/>
          <w:szCs w:val="28"/>
        </w:rPr>
        <w:t>Разработка технической документации, организационно-техническое сопровождение Международной выставки «Дорога к звездам-2012» Всероссийского фестиваля науки 2012 г. и организация участия в Международной выставке «Дорога к звездам-2012» делегации российских школьников, студентов и молодежи»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прибытия российской делегации для участия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организационно-техническому обеспечению участия российской делегации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освещения в средствах массовой 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информации мероприятий Дней науки России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Обеспечение участия Минобрнауки России в Международном научно-инновационном форуме в рамках выставки «Образование, спорт и туризм в эпоху нового Возрождения» (5-7 ноября 2012 г., Ашхабад, Туркменистан)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Организация и проведение Выставки-презентации результатов инновационной деятельности российских вузов (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Шеньжень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, КНР) в рамках деятельности Межправительственной комиссии по подготовке регулярных встреч глав правительств России и Китая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Востребованность региональных электронных СМИ, целевая аудитория СМИ "Телеканал-Подмосковье" 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</w:t>
      </w:r>
      <w:r w:rsidR="00007F3F">
        <w:rPr>
          <w:rFonts w:ascii="Times New Roman" w:hAnsi="Times New Roman" w:cs="Times New Roman"/>
          <w:sz w:val="28"/>
          <w:szCs w:val="28"/>
        </w:rPr>
        <w:t>(1 этап)</w:t>
      </w:r>
    </w:p>
    <w:p w:rsidR="00007F3F" w:rsidRDefault="00007F3F" w:rsidP="000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007F3F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007F3F" w:rsidRPr="00C62527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07F3F" w:rsidRPr="00EF193D" w:rsidRDefault="00007F3F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(2 этап)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международных научно-практических конференций с выставками инновационных проектов, посвященных празднованию 150-летия со дня рождения В.И. Вернадского (Россия, Украина, III квартал 2013 г.) 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3D">
        <w:rPr>
          <w:rFonts w:ascii="Times New Roman" w:hAnsi="Times New Roman" w:cs="Times New Roman"/>
          <w:sz w:val="28"/>
          <w:szCs w:val="28"/>
        </w:rPr>
        <w:t xml:space="preserve">Международная студенческая конференция с выставкой молодежных инновационных проектов и разработок «В.И. Вернадский как политический деятель и организатор научно-технических проектов» (Москва, III квартал 2013 г. </w:t>
      </w:r>
      <w:proofErr w:type="gramEnd"/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Перекрестный Национальный Год Россия - Германия и Перекрестный Национальный Год Россия - Нидерланды. Организация и проведение международного блока III Международного молодежного научно-технического форума «Дорога к звездам», включая российско-германско-нидерландскую конференцию молодых ученых-соотечественников </w:t>
      </w:r>
    </w:p>
    <w:p w:rsidR="00D96E5D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 МОУ (</w:t>
      </w:r>
      <w:proofErr w:type="spellStart"/>
      <w:r w:rsidRPr="00EF193D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EF193D">
        <w:rPr>
          <w:rFonts w:ascii="Times New Roman" w:hAnsi="Times New Roman" w:cs="Times New Roman"/>
          <w:sz w:val="28"/>
          <w:szCs w:val="28"/>
        </w:rPr>
        <w:t xml:space="preserve"> общеобразовательная школа): оценка родительского сообщества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проведения выставки «Инновационный потенциал молодых ученых российских регионов» (октябрь, г. Королёв, Московской области) в рамках празднования 150-летия В.И. Вернадского (Распоряжение Правительства Российской Федерации от 22 октября 2012 г. № 1964-р)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«Организационно-техническое обеспечение подготовки экспозиции выставки «Инновационный потенциал молодых ученых российских регионов» (октябрь, г. Королев Московской области) в рамках празднования 150-летия со дня рождения В.И. Вернадского (Распоряжение Правительства Российской Федерации от 22 октября 2012 г. № 1964-р)»</w:t>
      </w:r>
    </w:p>
    <w:p w:rsidR="00F94914" w:rsidRDefault="00F94914" w:rsidP="00F94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C7A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A7575F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и опытно</w:t>
      </w:r>
      <w:r>
        <w:rPr>
          <w:rFonts w:ascii="Times New Roman" w:hAnsi="Times New Roman" w:cs="Times New Roman"/>
          <w:b/>
          <w:sz w:val="28"/>
          <w:szCs w:val="28"/>
        </w:rPr>
        <w:t xml:space="preserve">-конструкторские работы </w:t>
      </w:r>
    </w:p>
    <w:p w:rsidR="00337C7A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337C7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37C7A" w:rsidRPr="00C625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модуля расчетов процессов химического осаждения из газовой фазы монометилсилана для уплотнения пористого каркаса крупногабаритного насадка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</w:t>
      </w:r>
      <w:r>
        <w:rPr>
          <w:rFonts w:ascii="Times New Roman" w:hAnsi="Times New Roman" w:cs="Times New Roman"/>
          <w:sz w:val="28"/>
          <w:szCs w:val="28"/>
        </w:rPr>
        <w:t>олокон (</w:t>
      </w:r>
      <w:r w:rsidRPr="00283313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Мониторинг качества предоставления образовательных услуг в МОУ "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13">
        <w:rPr>
          <w:rFonts w:ascii="Times New Roman" w:hAnsi="Times New Roman" w:cs="Times New Roman"/>
          <w:sz w:val="28"/>
          <w:szCs w:val="28"/>
        </w:rPr>
        <w:t>Выполнение научно-исследовательских работ в 2014 году по введению нормативного подушевого финансирования в организациях профессионального образования, включая мониторинг (подпункт 2.1.11 «Введение нормативного подушевого финансирования в организациях профессионального образования, включая мониторинг» перечня мероприятий подпрограммы IV «Профессиональное образование» государственной программы Московской области «Образование Подмосковья» на 2014-2018 годы, утвержденной постановлением Правительства Московской области от 23.08.2013 № 657/36)</w:t>
      </w:r>
      <w:proofErr w:type="gramEnd"/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Модель создания и развития электронной информационно-образовательной среды Финансово-технологической академии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регионального вуза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Исследование возможности и обоснование необходимости создания совместного Научно-исследовательского лабораторного комплекса на базе НПО </w:t>
      </w:r>
      <w:proofErr w:type="gramStart"/>
      <w:r w:rsidRPr="002833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83313">
        <w:rPr>
          <w:rFonts w:ascii="Times New Roman" w:hAnsi="Times New Roman" w:cs="Times New Roman"/>
          <w:sz w:val="28"/>
          <w:szCs w:val="28"/>
        </w:rPr>
        <w:t xml:space="preserve"> и ФТА для проведения НИР и осуществления учебного процесса</w:t>
      </w:r>
    </w:p>
    <w:p w:rsid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Концепция создания научно-образовательного кластера на базе ФТА как формы интеграции науки, образования и производства в 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Королев</w:t>
      </w:r>
    </w:p>
    <w:p w:rsidR="00283313" w:rsidRDefault="00283313" w:rsidP="00283313">
      <w:pPr>
        <w:pStyle w:val="a3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33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3313">
        <w:rPr>
          <w:rFonts w:ascii="Times New Roman" w:hAnsi="Times New Roman" w:cs="Times New Roman"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технологических приемов получения автоматизировано формируемых углеродных преформ и ПКМ на их основ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Научно-технологическое сопровождение разработки высокотемпературного композиционного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наполнителем</w:t>
      </w:r>
      <w:r w:rsidR="00102768">
        <w:rPr>
          <w:rFonts w:ascii="Times New Roman" w:hAnsi="Times New Roman" w:cs="Times New Roman"/>
          <w:sz w:val="28"/>
          <w:szCs w:val="28"/>
        </w:rPr>
        <w:t xml:space="preserve"> (1 этап) 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Оказание комплекса услуг по исследованию пористой структуры композиционных материалов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Стратегия развития инжинирингового центра «Высокотемпературные композиционные материалы»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Анализ математических и программных средств моделирования вихревых расходомеров, используемых в космической отрасли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Имидж Технологического университета как нематериальный актив в условиях конкурентной борьбы - оценка материально-технической базы, коммуникационных каналов и человеческого капитала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комплекса для проведения учебных исследований в области психологии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Энергетическая оптимизация возобновляемых источников энергии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Методология испытаний продукции по статистическим критериям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Разработка и исследование механизмов денежно-кредитной трансмиссии в РФ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283313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  (3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приемов получения автоматизировано формируемых углеродных </w:t>
      </w:r>
      <w:proofErr w:type="spellStart"/>
      <w:r w:rsidRPr="00E615B8">
        <w:rPr>
          <w:rStyle w:val="FontStyle12"/>
          <w:sz w:val="28"/>
          <w:szCs w:val="28"/>
        </w:rPr>
        <w:t>преформ</w:t>
      </w:r>
      <w:proofErr w:type="spellEnd"/>
      <w:r w:rsidRPr="00E615B8">
        <w:rPr>
          <w:rStyle w:val="FontStyle12"/>
          <w:sz w:val="28"/>
          <w:szCs w:val="28"/>
        </w:rPr>
        <w:t xml:space="preserve"> и ПКМ на их основе (2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Научно-технологическое сопровождение разработки высокотемпературного композиционного материала с </w:t>
      </w:r>
      <w:proofErr w:type="spellStart"/>
      <w:r w:rsidRPr="00E615B8">
        <w:rPr>
          <w:rStyle w:val="FontStyle12"/>
          <w:sz w:val="28"/>
          <w:szCs w:val="28"/>
        </w:rPr>
        <w:t>аблирующим</w:t>
      </w:r>
      <w:proofErr w:type="spellEnd"/>
      <w:r w:rsidRPr="00E615B8">
        <w:rPr>
          <w:rStyle w:val="FontStyle12"/>
          <w:sz w:val="28"/>
          <w:szCs w:val="28"/>
        </w:rPr>
        <w:t xml:space="preserve"> </w:t>
      </w:r>
      <w:proofErr w:type="gramStart"/>
      <w:r w:rsidRPr="00E615B8">
        <w:rPr>
          <w:rStyle w:val="FontStyle12"/>
          <w:sz w:val="28"/>
          <w:szCs w:val="28"/>
        </w:rPr>
        <w:t>наполнителе</w:t>
      </w:r>
      <w:proofErr w:type="gramEnd"/>
      <w:r w:rsidRPr="00E615B8">
        <w:rPr>
          <w:rStyle w:val="FontStyle12"/>
          <w:sz w:val="28"/>
          <w:szCs w:val="28"/>
        </w:rPr>
        <w:t xml:space="preserve"> (2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основ получения нитяного термопластичного </w:t>
      </w:r>
      <w:proofErr w:type="spellStart"/>
      <w:r w:rsidRPr="00E615B8">
        <w:rPr>
          <w:rStyle w:val="FontStyle12"/>
          <w:sz w:val="28"/>
          <w:szCs w:val="28"/>
        </w:rPr>
        <w:t>препрега</w:t>
      </w:r>
      <w:proofErr w:type="spellEnd"/>
      <w:r w:rsidRPr="00E615B8">
        <w:rPr>
          <w:rStyle w:val="FontStyle12"/>
          <w:sz w:val="28"/>
          <w:szCs w:val="28"/>
        </w:rPr>
        <w:t xml:space="preserve"> на основе углеродного волокна и </w:t>
      </w:r>
      <w:proofErr w:type="spellStart"/>
      <w:r w:rsidRPr="00E615B8">
        <w:rPr>
          <w:rStyle w:val="FontStyle12"/>
          <w:sz w:val="28"/>
          <w:szCs w:val="28"/>
        </w:rPr>
        <w:t>полиэфирэфиркетона</w:t>
      </w:r>
      <w:proofErr w:type="spellEnd"/>
      <w:r w:rsidRPr="00E615B8">
        <w:rPr>
          <w:rStyle w:val="FontStyle12"/>
          <w:sz w:val="28"/>
          <w:szCs w:val="28"/>
        </w:rPr>
        <w:t xml:space="preserve"> для аддитивных технологий производства высокотемпературных композиционных материалов</w:t>
      </w:r>
    </w:p>
    <w:sectPr w:rsidR="00E615B8" w:rsidRPr="00E6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899"/>
    <w:multiLevelType w:val="hybridMultilevel"/>
    <w:tmpl w:val="1EC8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7059"/>
    <w:multiLevelType w:val="hybridMultilevel"/>
    <w:tmpl w:val="8EA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1F9"/>
    <w:multiLevelType w:val="hybridMultilevel"/>
    <w:tmpl w:val="BA6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7A7"/>
    <w:multiLevelType w:val="hybridMultilevel"/>
    <w:tmpl w:val="52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4A9D"/>
    <w:multiLevelType w:val="hybridMultilevel"/>
    <w:tmpl w:val="3AF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984"/>
    <w:multiLevelType w:val="hybridMultilevel"/>
    <w:tmpl w:val="E45A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346B"/>
    <w:multiLevelType w:val="hybridMultilevel"/>
    <w:tmpl w:val="4176C434"/>
    <w:lvl w:ilvl="0" w:tplc="6116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007F3F"/>
    <w:rsid w:val="00073FFA"/>
    <w:rsid w:val="00102768"/>
    <w:rsid w:val="00177730"/>
    <w:rsid w:val="00283313"/>
    <w:rsid w:val="00337C7A"/>
    <w:rsid w:val="00501C38"/>
    <w:rsid w:val="007402A3"/>
    <w:rsid w:val="008D34B3"/>
    <w:rsid w:val="00A7575F"/>
    <w:rsid w:val="00B820D6"/>
    <w:rsid w:val="00B97DAA"/>
    <w:rsid w:val="00C62527"/>
    <w:rsid w:val="00D54AED"/>
    <w:rsid w:val="00D96E5D"/>
    <w:rsid w:val="00DB7700"/>
    <w:rsid w:val="00E615B8"/>
    <w:rsid w:val="00EA0E34"/>
    <w:rsid w:val="00EF19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82934234763087"/>
          <c:y val="0.25417683614290482"/>
          <c:w val="0.75093667979002621"/>
          <c:h val="0.6662532808398956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финансирования научных исследований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16950</c:v>
                </c:pt>
                <c:pt idx="1">
                  <c:v>25270</c:v>
                </c:pt>
                <c:pt idx="2">
                  <c:v>23739</c:v>
                </c:pt>
                <c:pt idx="3">
                  <c:v>14796</c:v>
                </c:pt>
                <c:pt idx="4">
                  <c:v>24712</c:v>
                </c:pt>
                <c:pt idx="5">
                  <c:v>28155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16640"/>
        <c:axId val="47280064"/>
        <c:axId val="179272832"/>
      </c:bar3DChart>
      <c:catAx>
        <c:axId val="5041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3164694413198351"/>
              <c:y val="0.8273758467938552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280064"/>
        <c:crosses val="autoZero"/>
        <c:auto val="1"/>
        <c:lblAlgn val="ctr"/>
        <c:lblOffset val="100"/>
        <c:noMultiLvlLbl val="0"/>
      </c:catAx>
      <c:valAx>
        <c:axId val="47280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 финансирования тыс. руб.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416640"/>
        <c:crosses val="autoZero"/>
        <c:crossBetween val="between"/>
      </c:valAx>
      <c:serAx>
        <c:axId val="179272832"/>
        <c:scaling>
          <c:orientation val="minMax"/>
        </c:scaling>
        <c:delete val="1"/>
        <c:axPos val="b"/>
        <c:majorTickMark val="out"/>
        <c:minorTickMark val="none"/>
        <c:tickLblPos val="none"/>
        <c:crossAx val="47280064"/>
        <c:crosses val="autoZero"/>
      </c:serAx>
    </c:plotArea>
    <c:legend>
      <c:legendPos val="r"/>
      <c:layout>
        <c:manualLayout>
          <c:xMode val="edge"/>
          <c:yMode val="edge"/>
          <c:x val="8.7353939369404013E-2"/>
          <c:y val="0.8948629049827258"/>
          <c:w val="0.84066662618329602"/>
          <c:h val="0.1032983722884442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Виктория Борисовна</dc:creator>
  <cp:lastModifiedBy>Климачкова Мария Владимировна</cp:lastModifiedBy>
  <cp:revision>5</cp:revision>
  <dcterms:created xsi:type="dcterms:W3CDTF">2016-03-02T07:29:00Z</dcterms:created>
  <dcterms:modified xsi:type="dcterms:W3CDTF">2017-03-16T08:38:00Z</dcterms:modified>
</cp:coreProperties>
</file>